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10F" w:rsidRDefault="00B56BFB" w:rsidP="00015176">
      <w:pPr>
        <w:pStyle w:val="Heading2"/>
        <w:pageBreakBefore/>
        <w:pBdr>
          <w:bottom w:val="single" w:sz="12" w:space="1" w:color="auto"/>
        </w:pBdr>
        <w:spacing w:before="0" w:after="0" w:line="264" w:lineRule="auto"/>
        <w:rPr>
          <w:rStyle w:val="2H"/>
          <w:rFonts w:ascii="Calibri" w:eastAsiaTheme="minorHAnsi" w:hAnsi="Calibri" w:cstheme="minorBidi"/>
          <w:b/>
          <w:bCs w:val="0"/>
          <w:i w:val="0"/>
          <w:iCs w:val="0"/>
          <w:sz w:val="28"/>
          <w:szCs w:val="22"/>
          <w:lang w:val="en-GB"/>
        </w:rPr>
      </w:pPr>
      <w:bookmarkStart w:id="0" w:name="_Toc142800361"/>
      <w:r>
        <w:rPr>
          <w:rStyle w:val="2H"/>
          <w:rFonts w:ascii="Calibri" w:hAnsi="Calibri"/>
          <w:b/>
          <w:bCs w:val="0"/>
          <w:i w:val="0"/>
          <w:iCs w:val="0"/>
          <w:sz w:val="28"/>
          <w:lang w:val="en-GB"/>
        </w:rPr>
        <w:t>IV.</w:t>
      </w:r>
      <w:r>
        <w:rPr>
          <w:rStyle w:val="2H"/>
          <w:rFonts w:ascii="Calibri" w:hAnsi="Calibri"/>
          <w:b/>
          <w:bCs w:val="0"/>
          <w:i w:val="0"/>
          <w:iCs w:val="0"/>
          <w:sz w:val="28"/>
          <w:lang w:val="en-GB"/>
        </w:rPr>
        <w:tab/>
        <w:t>Child Mortality</w:t>
      </w:r>
      <w:bookmarkEnd w:id="0"/>
    </w:p>
    <w:p w:rsidR="00C7610F" w:rsidRPr="00BB0241" w:rsidRDefault="00C7610F" w:rsidP="00015176">
      <w:pPr>
        <w:spacing w:line="264" w:lineRule="auto"/>
        <w:rPr>
          <w:rFonts w:ascii="Calibri" w:hAnsi="Calibri"/>
          <w:szCs w:val="22"/>
          <w:lang w:val="en-GB"/>
        </w:rPr>
      </w:pPr>
    </w:p>
    <w:p w:rsidR="00C7610F" w:rsidRDefault="00B56BFB" w:rsidP="0072053E">
      <w:pPr>
        <w:spacing w:line="264" w:lineRule="auto"/>
        <w:jc w:val="both"/>
        <w:rPr>
          <w:rFonts w:ascii="Calibri" w:hAnsi="Calibri"/>
          <w:szCs w:val="22"/>
          <w:lang w:val="en-GB"/>
        </w:rPr>
      </w:pPr>
      <w:r>
        <w:rPr>
          <w:rFonts w:ascii="Calibri" w:hAnsi="Calibri"/>
          <w:szCs w:val="22"/>
          <w:lang w:val="en-GB"/>
        </w:rPr>
        <w:t>One of the overarching goals of the Millennium Development Goals (MDGs) is to reduce infant and under-five mortality. Specifically, the MDGs call for the reduction of under-five mortality by two-thirds between 1990 and 2015. Monitoring progress towards this goal is an important but difficult objective.</w:t>
      </w:r>
    </w:p>
    <w:p w:rsidR="00C7610F" w:rsidRDefault="00C7610F" w:rsidP="0072053E">
      <w:pPr>
        <w:spacing w:line="264" w:lineRule="auto"/>
        <w:jc w:val="both"/>
        <w:rPr>
          <w:rFonts w:ascii="Calibri" w:hAnsi="Calibri"/>
          <w:szCs w:val="22"/>
          <w:lang w:val="en-GB"/>
        </w:rPr>
      </w:pPr>
    </w:p>
    <w:p w:rsidR="00C7610F" w:rsidRDefault="00B56BFB" w:rsidP="0072053E">
      <w:pPr>
        <w:spacing w:line="264" w:lineRule="auto"/>
        <w:jc w:val="both"/>
        <w:rPr>
          <w:rFonts w:ascii="Calibri" w:hAnsi="Calibri"/>
          <w:szCs w:val="22"/>
          <w:lang w:val="en-GB"/>
        </w:rPr>
      </w:pPr>
      <w:r>
        <w:rPr>
          <w:rFonts w:ascii="Calibri" w:hAnsi="Calibri"/>
          <w:szCs w:val="22"/>
          <w:lang w:val="en-GB"/>
        </w:rPr>
        <w:t>Mortality rates presented in this chapter are calculated from information collected in the birth histor</w:t>
      </w:r>
      <w:r w:rsidR="00CB54EF">
        <w:rPr>
          <w:rFonts w:ascii="Calibri" w:hAnsi="Calibri"/>
          <w:szCs w:val="22"/>
          <w:lang w:val="en-GB"/>
        </w:rPr>
        <w:t>ies</w:t>
      </w:r>
      <w:r>
        <w:rPr>
          <w:rFonts w:ascii="Calibri" w:hAnsi="Calibri"/>
          <w:szCs w:val="22"/>
          <w:lang w:val="en-GB"/>
        </w:rPr>
        <w:t xml:space="preserve"> of the Women’s Questionnaire</w:t>
      </w:r>
      <w:r w:rsidR="00CB54EF">
        <w:rPr>
          <w:rFonts w:ascii="Calibri" w:hAnsi="Calibri"/>
          <w:szCs w:val="22"/>
          <w:lang w:val="en-GB"/>
        </w:rPr>
        <w:t>s</w:t>
      </w:r>
      <w:r>
        <w:rPr>
          <w:rFonts w:ascii="Calibri" w:hAnsi="Calibri"/>
          <w:szCs w:val="22"/>
          <w:lang w:val="en-GB"/>
        </w:rPr>
        <w:t xml:space="preserve">. </w:t>
      </w:r>
      <w:r w:rsidR="00CB54EF">
        <w:rPr>
          <w:rFonts w:ascii="Calibri" w:hAnsi="Calibri"/>
          <w:szCs w:val="22"/>
          <w:lang w:val="en-GB"/>
        </w:rPr>
        <w:t>All interviewed w</w:t>
      </w:r>
      <w:r>
        <w:rPr>
          <w:rFonts w:ascii="Calibri" w:hAnsi="Calibri"/>
          <w:szCs w:val="22"/>
          <w:lang w:val="en-GB"/>
        </w:rPr>
        <w:t xml:space="preserve">omen were asked whether they had ever given birth, and if yes, they were asked to report the number of sons and daughters who live with them, the number who live elsewhere, and the number who have died. In addition, they were asked to provide a detailed birth history of live births of children in chronological order starting with the firstborn. Women were asked whether births were single or multiple, the sex of the children, the date of birth (month and year), and survival status. Further, for children still alive, they were asked the current age of the child and, if not alive, the age at death. </w:t>
      </w:r>
      <w:r w:rsidR="00CB54EF">
        <w:rPr>
          <w:rFonts w:ascii="Calibri" w:hAnsi="Calibri"/>
          <w:szCs w:val="22"/>
          <w:lang w:val="en-GB"/>
        </w:rPr>
        <w:t>C</w:t>
      </w:r>
      <w:r>
        <w:rPr>
          <w:rFonts w:ascii="Calibri" w:hAnsi="Calibri"/>
          <w:szCs w:val="22"/>
          <w:lang w:val="en-GB"/>
        </w:rPr>
        <w:t xml:space="preserve">hildhood mortality rates are expressed by </w:t>
      </w:r>
      <w:r w:rsidR="00CB54EF">
        <w:rPr>
          <w:rFonts w:ascii="Calibri" w:hAnsi="Calibri"/>
          <w:szCs w:val="22"/>
          <w:lang w:val="en-GB"/>
        </w:rPr>
        <w:t xml:space="preserve">conventional </w:t>
      </w:r>
      <w:r>
        <w:rPr>
          <w:rFonts w:ascii="Calibri" w:hAnsi="Calibri"/>
          <w:szCs w:val="22"/>
          <w:lang w:val="en-GB"/>
        </w:rPr>
        <w:t>age categories and are defined as follows</w:t>
      </w:r>
      <w:r w:rsidR="00015176">
        <w:rPr>
          <w:rFonts w:ascii="Calibri" w:hAnsi="Calibri"/>
          <w:szCs w:val="22"/>
          <w:lang w:val="en-GB"/>
        </w:rPr>
        <w:t>:</w:t>
      </w:r>
    </w:p>
    <w:p w:rsidR="00C7610F" w:rsidRDefault="00C7610F" w:rsidP="0072053E">
      <w:pPr>
        <w:spacing w:line="264" w:lineRule="auto"/>
        <w:jc w:val="both"/>
        <w:rPr>
          <w:rFonts w:ascii="Calibri" w:hAnsi="Calibri"/>
          <w:szCs w:val="22"/>
          <w:lang w:val="en-GB"/>
        </w:rPr>
      </w:pPr>
    </w:p>
    <w:p w:rsidR="00C7610F" w:rsidRDefault="00B56BFB" w:rsidP="0072053E">
      <w:pPr>
        <w:spacing w:line="264" w:lineRule="auto"/>
        <w:jc w:val="both"/>
        <w:rPr>
          <w:rFonts w:ascii="Calibri" w:hAnsi="Calibri"/>
          <w:szCs w:val="22"/>
          <w:lang w:val="en-GB"/>
        </w:rPr>
      </w:pPr>
      <w:r>
        <w:rPr>
          <w:rFonts w:ascii="Calibri" w:hAnsi="Calibri"/>
          <w:szCs w:val="22"/>
          <w:lang w:val="en-GB"/>
        </w:rPr>
        <w:t>•</w:t>
      </w:r>
      <w:r>
        <w:rPr>
          <w:rFonts w:ascii="Calibri" w:hAnsi="Calibri"/>
          <w:szCs w:val="22"/>
          <w:lang w:val="en-GB"/>
        </w:rPr>
        <w:tab/>
        <w:t>Neonatal mortality (NN): probability of dying within the first month of life</w:t>
      </w:r>
    </w:p>
    <w:p w:rsidR="00C7610F" w:rsidRDefault="00B56BFB" w:rsidP="0072053E">
      <w:pPr>
        <w:spacing w:line="264" w:lineRule="auto"/>
        <w:jc w:val="both"/>
        <w:rPr>
          <w:rFonts w:ascii="Calibri" w:hAnsi="Calibri"/>
          <w:szCs w:val="22"/>
          <w:lang w:val="en-GB"/>
        </w:rPr>
      </w:pPr>
      <w:r>
        <w:rPr>
          <w:rFonts w:ascii="Calibri" w:hAnsi="Calibri"/>
          <w:szCs w:val="22"/>
          <w:lang w:val="en-GB"/>
        </w:rPr>
        <w:t>•</w:t>
      </w:r>
      <w:r>
        <w:rPr>
          <w:rFonts w:ascii="Calibri" w:hAnsi="Calibri"/>
          <w:szCs w:val="22"/>
          <w:lang w:val="en-GB"/>
        </w:rPr>
        <w:tab/>
        <w:t>Post-neonatal mortality (PNN): difference between infant and neonatal mortality</w:t>
      </w:r>
      <w:r w:rsidR="00F84512">
        <w:rPr>
          <w:rFonts w:ascii="Calibri" w:hAnsi="Calibri"/>
          <w:szCs w:val="22"/>
          <w:lang w:val="en-GB"/>
        </w:rPr>
        <w:t xml:space="preserve"> rates</w:t>
      </w:r>
    </w:p>
    <w:p w:rsidR="00C7610F" w:rsidRDefault="00B56BFB" w:rsidP="0072053E">
      <w:pPr>
        <w:spacing w:line="264" w:lineRule="auto"/>
        <w:jc w:val="both"/>
        <w:rPr>
          <w:rFonts w:ascii="Calibri" w:hAnsi="Calibri"/>
          <w:szCs w:val="22"/>
          <w:lang w:val="en-GB"/>
        </w:rPr>
      </w:pPr>
      <w:r>
        <w:rPr>
          <w:rFonts w:ascii="Calibri" w:hAnsi="Calibri"/>
          <w:szCs w:val="22"/>
          <w:lang w:val="en-GB"/>
        </w:rPr>
        <w:t>•</w:t>
      </w:r>
      <w:r>
        <w:rPr>
          <w:rFonts w:ascii="Calibri" w:hAnsi="Calibri"/>
          <w:szCs w:val="22"/>
          <w:lang w:val="en-GB"/>
        </w:rPr>
        <w:tab/>
        <w:t>Infant mortality (</w:t>
      </w:r>
      <w:r w:rsidRPr="00015176">
        <w:rPr>
          <w:rFonts w:ascii="Calibri" w:hAnsi="Calibri"/>
          <w:szCs w:val="22"/>
          <w:vertAlign w:val="subscript"/>
          <w:lang w:val="en-GB"/>
        </w:rPr>
        <w:t>1</w:t>
      </w:r>
      <w:r>
        <w:rPr>
          <w:rFonts w:ascii="Calibri" w:hAnsi="Calibri"/>
          <w:szCs w:val="22"/>
          <w:lang w:val="en-GB"/>
        </w:rPr>
        <w:t>q</w:t>
      </w:r>
      <w:r w:rsidRPr="00015176">
        <w:rPr>
          <w:rFonts w:ascii="Calibri" w:hAnsi="Calibri"/>
          <w:szCs w:val="22"/>
          <w:vertAlign w:val="subscript"/>
          <w:lang w:val="en-GB"/>
        </w:rPr>
        <w:t>0</w:t>
      </w:r>
      <w:r>
        <w:rPr>
          <w:rFonts w:ascii="Calibri" w:hAnsi="Calibri"/>
          <w:szCs w:val="22"/>
          <w:lang w:val="en-GB"/>
        </w:rPr>
        <w:t>): probability of dying between birth and the first birthday</w:t>
      </w:r>
    </w:p>
    <w:p w:rsidR="00C7610F" w:rsidRDefault="00B56BFB" w:rsidP="0072053E">
      <w:pPr>
        <w:spacing w:line="264" w:lineRule="auto"/>
        <w:jc w:val="both"/>
        <w:rPr>
          <w:rFonts w:ascii="Calibri" w:hAnsi="Calibri"/>
          <w:szCs w:val="22"/>
          <w:lang w:val="en-GB"/>
        </w:rPr>
      </w:pPr>
      <w:r>
        <w:rPr>
          <w:rFonts w:ascii="Calibri" w:hAnsi="Calibri"/>
          <w:szCs w:val="22"/>
          <w:lang w:val="en-GB"/>
        </w:rPr>
        <w:t>•</w:t>
      </w:r>
      <w:r>
        <w:rPr>
          <w:rFonts w:ascii="Calibri" w:hAnsi="Calibri"/>
          <w:szCs w:val="22"/>
          <w:lang w:val="en-GB"/>
        </w:rPr>
        <w:tab/>
        <w:t>Child mortality (</w:t>
      </w:r>
      <w:r w:rsidRPr="00015176">
        <w:rPr>
          <w:rFonts w:ascii="Calibri" w:hAnsi="Calibri"/>
          <w:szCs w:val="22"/>
          <w:vertAlign w:val="subscript"/>
          <w:lang w:val="en-GB"/>
        </w:rPr>
        <w:t>4</w:t>
      </w:r>
      <w:r>
        <w:rPr>
          <w:rFonts w:ascii="Calibri" w:hAnsi="Calibri"/>
          <w:szCs w:val="22"/>
          <w:lang w:val="en-GB"/>
        </w:rPr>
        <w:t>q</w:t>
      </w:r>
      <w:r w:rsidRPr="00015176">
        <w:rPr>
          <w:rFonts w:ascii="Calibri" w:hAnsi="Calibri"/>
          <w:szCs w:val="22"/>
          <w:vertAlign w:val="subscript"/>
          <w:lang w:val="en-GB"/>
        </w:rPr>
        <w:t>1</w:t>
      </w:r>
      <w:r>
        <w:rPr>
          <w:rFonts w:ascii="Calibri" w:hAnsi="Calibri"/>
          <w:szCs w:val="22"/>
          <w:lang w:val="en-GB"/>
        </w:rPr>
        <w:t xml:space="preserve">): probability of dying between </w:t>
      </w:r>
      <w:r w:rsidR="00F84512">
        <w:rPr>
          <w:rFonts w:ascii="Calibri" w:hAnsi="Calibri"/>
          <w:szCs w:val="22"/>
          <w:lang w:val="en-GB"/>
        </w:rPr>
        <w:t>the first and the fifth birthdays</w:t>
      </w:r>
    </w:p>
    <w:p w:rsidR="00C7610F" w:rsidRDefault="00B56BFB" w:rsidP="0072053E">
      <w:pPr>
        <w:spacing w:line="264" w:lineRule="auto"/>
        <w:jc w:val="both"/>
        <w:rPr>
          <w:rFonts w:ascii="Calibri" w:hAnsi="Calibri"/>
          <w:szCs w:val="22"/>
          <w:lang w:val="en-GB"/>
        </w:rPr>
      </w:pPr>
      <w:r>
        <w:rPr>
          <w:rFonts w:ascii="Calibri" w:hAnsi="Calibri"/>
          <w:szCs w:val="22"/>
          <w:lang w:val="en-GB"/>
        </w:rPr>
        <w:t>•</w:t>
      </w:r>
      <w:r>
        <w:rPr>
          <w:rFonts w:ascii="Calibri" w:hAnsi="Calibri"/>
          <w:szCs w:val="22"/>
          <w:lang w:val="en-GB"/>
        </w:rPr>
        <w:tab/>
        <w:t>Under-five mortality (</w:t>
      </w:r>
      <w:r w:rsidRPr="00015176">
        <w:rPr>
          <w:rFonts w:ascii="Calibri" w:hAnsi="Calibri"/>
          <w:szCs w:val="22"/>
          <w:vertAlign w:val="subscript"/>
          <w:lang w:val="en-GB"/>
        </w:rPr>
        <w:t>5</w:t>
      </w:r>
      <w:r>
        <w:rPr>
          <w:rFonts w:ascii="Calibri" w:hAnsi="Calibri"/>
          <w:szCs w:val="22"/>
          <w:lang w:val="en-GB"/>
        </w:rPr>
        <w:t>q</w:t>
      </w:r>
      <w:r w:rsidRPr="00015176">
        <w:rPr>
          <w:rFonts w:ascii="Calibri" w:hAnsi="Calibri"/>
          <w:szCs w:val="22"/>
          <w:vertAlign w:val="subscript"/>
          <w:lang w:val="en-GB"/>
        </w:rPr>
        <w:t>0</w:t>
      </w:r>
      <w:r>
        <w:rPr>
          <w:rFonts w:ascii="Calibri" w:hAnsi="Calibri"/>
          <w:szCs w:val="22"/>
          <w:lang w:val="en-GB"/>
        </w:rPr>
        <w:t>): the probability of dying between birth and the fifth birthday</w:t>
      </w:r>
    </w:p>
    <w:p w:rsidR="00C7610F" w:rsidRDefault="00C7610F" w:rsidP="0072053E">
      <w:pPr>
        <w:spacing w:line="264" w:lineRule="auto"/>
        <w:jc w:val="both"/>
        <w:rPr>
          <w:rFonts w:ascii="Calibri" w:hAnsi="Calibri"/>
          <w:szCs w:val="22"/>
          <w:lang w:val="en-GB"/>
        </w:rPr>
      </w:pPr>
    </w:p>
    <w:p w:rsidR="00C7610F" w:rsidRDefault="00F84512" w:rsidP="0072053E">
      <w:pPr>
        <w:spacing w:line="264" w:lineRule="auto"/>
        <w:jc w:val="both"/>
        <w:rPr>
          <w:rFonts w:ascii="Calibri" w:hAnsi="Calibri"/>
          <w:szCs w:val="22"/>
          <w:lang w:val="en-GB"/>
        </w:rPr>
      </w:pPr>
      <w:r>
        <w:rPr>
          <w:rFonts w:ascii="Calibri" w:hAnsi="Calibri"/>
          <w:szCs w:val="22"/>
          <w:lang w:val="en-GB"/>
        </w:rPr>
        <w:t>R</w:t>
      </w:r>
      <w:r w:rsidR="00B56BFB">
        <w:rPr>
          <w:rFonts w:ascii="Calibri" w:hAnsi="Calibri"/>
          <w:szCs w:val="22"/>
          <w:lang w:val="en-GB"/>
        </w:rPr>
        <w:t>ates are expressed as deaths per 1,000 live births, except in the case of child mortality, which is expressed as deaths per 1,000 children surviving to age one</w:t>
      </w:r>
      <w:r>
        <w:rPr>
          <w:rFonts w:ascii="Calibri" w:hAnsi="Calibri"/>
          <w:szCs w:val="22"/>
          <w:lang w:val="en-GB"/>
        </w:rPr>
        <w:t>, and post-neonatal mortality, which is the difference between infant and neonatal mortality rates.</w:t>
      </w:r>
    </w:p>
    <w:p w:rsidR="00C7610F" w:rsidRDefault="00C7610F" w:rsidP="00015176">
      <w:pPr>
        <w:spacing w:line="264" w:lineRule="auto"/>
        <w:rPr>
          <w:rFonts w:ascii="Calibri" w:hAnsi="Calibri"/>
          <w:szCs w:val="22"/>
          <w:lang w:val="en-GB"/>
        </w:rPr>
      </w:pPr>
    </w:p>
    <w:tbl>
      <w:tblPr>
        <w:tblW w:w="5000" w:type="pct"/>
        <w:jc w:val="center"/>
        <w:tblLook w:val="04A0"/>
      </w:tblPr>
      <w:tblGrid>
        <w:gridCol w:w="1962"/>
        <w:gridCol w:w="1484"/>
        <w:gridCol w:w="1543"/>
        <w:gridCol w:w="1365"/>
        <w:gridCol w:w="1265"/>
        <w:gridCol w:w="1624"/>
      </w:tblGrid>
      <w:tr w:rsidR="00624F97" w:rsidRPr="008F0642" w:rsidTr="007B5A6F">
        <w:trPr>
          <w:trHeight w:val="284"/>
          <w:jc w:val="center"/>
        </w:trPr>
        <w:tc>
          <w:tcPr>
            <w:tcW w:w="9576"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624F97" w:rsidRPr="008F0642" w:rsidRDefault="00624F97" w:rsidP="00624F97">
            <w:pPr>
              <w:rPr>
                <w:rFonts w:ascii="Arial" w:hAnsi="Arial" w:cs="Arial"/>
                <w:b/>
                <w:bCs/>
                <w:color w:val="FFFFFF"/>
                <w:sz w:val="20"/>
              </w:rPr>
            </w:pPr>
            <w:r w:rsidRPr="008F0642">
              <w:rPr>
                <w:rFonts w:ascii="Arial" w:hAnsi="Arial" w:cs="Arial"/>
                <w:b/>
                <w:bCs/>
                <w:color w:val="FFFFFF"/>
                <w:sz w:val="20"/>
              </w:rPr>
              <w:t>Table CM.1: Early childhood mortality rates</w:t>
            </w:r>
          </w:p>
        </w:tc>
      </w:tr>
      <w:tr w:rsidR="00624F97" w:rsidRPr="008F0642" w:rsidTr="007B5A6F">
        <w:trPr>
          <w:trHeight w:val="284"/>
          <w:jc w:val="center"/>
        </w:trPr>
        <w:tc>
          <w:tcPr>
            <w:tcW w:w="9576"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4F97" w:rsidRPr="008F0642" w:rsidRDefault="00624F97" w:rsidP="00624F97">
            <w:pPr>
              <w:rPr>
                <w:rFonts w:ascii="Arial" w:hAnsi="Arial" w:cs="Arial"/>
                <w:sz w:val="20"/>
              </w:rPr>
            </w:pPr>
            <w:r w:rsidRPr="008F0642">
              <w:rPr>
                <w:rFonts w:ascii="Arial" w:hAnsi="Arial" w:cs="Arial"/>
                <w:sz w:val="20"/>
              </w:rPr>
              <w:t>Neonatal, post-neonatal, Infant, child and under-five mortality rates for five year periods preceding the survey, Palestine, 2014</w:t>
            </w:r>
          </w:p>
        </w:tc>
      </w:tr>
      <w:tr w:rsidR="00624F97" w:rsidRPr="00624F97" w:rsidTr="007B5A6F">
        <w:trPr>
          <w:trHeight w:val="284"/>
          <w:jc w:val="center"/>
        </w:trPr>
        <w:tc>
          <w:tcPr>
            <w:tcW w:w="2035" w:type="dxa"/>
            <w:tcBorders>
              <w:top w:val="nil"/>
              <w:left w:val="single" w:sz="4" w:space="0" w:color="auto"/>
              <w:bottom w:val="single" w:sz="4" w:space="0" w:color="auto"/>
              <w:right w:val="nil"/>
            </w:tcBorders>
            <w:shd w:val="clear" w:color="auto" w:fill="auto"/>
            <w:vAlign w:val="center"/>
            <w:hideMark/>
          </w:tcPr>
          <w:p w:rsidR="00624F97" w:rsidRPr="00624F97" w:rsidRDefault="00624F97" w:rsidP="00624F97">
            <w:pPr>
              <w:rPr>
                <w:rFonts w:ascii="Arial" w:hAnsi="Arial" w:cs="Arial"/>
                <w:b/>
                <w:bCs/>
                <w:sz w:val="16"/>
                <w:szCs w:val="16"/>
              </w:rPr>
            </w:pPr>
            <w:r w:rsidRPr="00624F97">
              <w:rPr>
                <w:rFonts w:ascii="Arial" w:hAnsi="Arial" w:cs="Arial"/>
                <w:b/>
                <w:bCs/>
                <w:sz w:val="16"/>
                <w:szCs w:val="16"/>
              </w:rPr>
              <w:t> </w:t>
            </w:r>
          </w:p>
        </w:tc>
        <w:tc>
          <w:tcPr>
            <w:tcW w:w="1537" w:type="dxa"/>
            <w:tcBorders>
              <w:top w:val="nil"/>
              <w:left w:val="nil"/>
              <w:bottom w:val="single" w:sz="4" w:space="0" w:color="auto"/>
              <w:right w:val="nil"/>
            </w:tcBorders>
            <w:shd w:val="clear" w:color="auto" w:fill="auto"/>
            <w:vAlign w:val="center"/>
            <w:hideMark/>
          </w:tcPr>
          <w:p w:rsidR="00624F97" w:rsidRPr="00624F97" w:rsidRDefault="00624F97" w:rsidP="00624F97">
            <w:pPr>
              <w:jc w:val="center"/>
              <w:rPr>
                <w:rFonts w:ascii="Arial" w:hAnsi="Arial" w:cs="Arial"/>
                <w:sz w:val="16"/>
                <w:szCs w:val="16"/>
              </w:rPr>
            </w:pPr>
            <w:r w:rsidRPr="00624F97">
              <w:rPr>
                <w:rFonts w:ascii="Arial" w:hAnsi="Arial" w:cs="Arial"/>
                <w:sz w:val="16"/>
                <w:szCs w:val="16"/>
              </w:rPr>
              <w:t>Neonatal mortality rate</w:t>
            </w:r>
            <w:r w:rsidRPr="00624F97">
              <w:rPr>
                <w:rFonts w:ascii="Arial" w:hAnsi="Arial" w:cs="Arial"/>
                <w:sz w:val="16"/>
                <w:szCs w:val="16"/>
                <w:vertAlign w:val="superscript"/>
              </w:rPr>
              <w:t>1</w:t>
            </w:r>
          </w:p>
        </w:tc>
        <w:tc>
          <w:tcPr>
            <w:tcW w:w="1599" w:type="dxa"/>
            <w:tcBorders>
              <w:top w:val="nil"/>
              <w:left w:val="nil"/>
              <w:bottom w:val="single" w:sz="4" w:space="0" w:color="auto"/>
              <w:right w:val="nil"/>
            </w:tcBorders>
            <w:shd w:val="clear" w:color="auto" w:fill="auto"/>
            <w:vAlign w:val="center"/>
            <w:hideMark/>
          </w:tcPr>
          <w:p w:rsidR="00624F97" w:rsidRPr="00624F97" w:rsidRDefault="00624F97" w:rsidP="00624F97">
            <w:pPr>
              <w:jc w:val="center"/>
              <w:rPr>
                <w:rFonts w:ascii="Arial" w:hAnsi="Arial" w:cs="Arial"/>
                <w:sz w:val="16"/>
                <w:szCs w:val="16"/>
              </w:rPr>
            </w:pPr>
            <w:r w:rsidRPr="00624F97">
              <w:rPr>
                <w:rFonts w:ascii="Arial" w:hAnsi="Arial" w:cs="Arial"/>
                <w:sz w:val="16"/>
                <w:szCs w:val="16"/>
              </w:rPr>
              <w:t>Post-neonatal mortality rate</w:t>
            </w:r>
            <w:r w:rsidRPr="00624F97">
              <w:rPr>
                <w:rFonts w:ascii="Arial" w:hAnsi="Arial" w:cs="Arial"/>
                <w:sz w:val="16"/>
                <w:szCs w:val="16"/>
                <w:vertAlign w:val="superscript"/>
              </w:rPr>
              <w:t>2, a</w:t>
            </w:r>
          </w:p>
        </w:tc>
        <w:tc>
          <w:tcPr>
            <w:tcW w:w="1413" w:type="dxa"/>
            <w:tcBorders>
              <w:top w:val="nil"/>
              <w:left w:val="nil"/>
              <w:bottom w:val="single" w:sz="4" w:space="0" w:color="auto"/>
              <w:right w:val="nil"/>
            </w:tcBorders>
            <w:shd w:val="clear" w:color="auto" w:fill="auto"/>
            <w:vAlign w:val="center"/>
            <w:hideMark/>
          </w:tcPr>
          <w:p w:rsidR="00624F97" w:rsidRPr="00624F97" w:rsidRDefault="00624F97" w:rsidP="00624F97">
            <w:pPr>
              <w:jc w:val="center"/>
              <w:rPr>
                <w:rFonts w:ascii="Arial" w:hAnsi="Arial" w:cs="Arial"/>
                <w:sz w:val="16"/>
                <w:szCs w:val="16"/>
              </w:rPr>
            </w:pPr>
            <w:r w:rsidRPr="00624F97">
              <w:rPr>
                <w:rFonts w:ascii="Arial" w:hAnsi="Arial" w:cs="Arial"/>
                <w:sz w:val="16"/>
                <w:szCs w:val="16"/>
              </w:rPr>
              <w:t>Infant mortality rate</w:t>
            </w:r>
            <w:r w:rsidRPr="00624F97">
              <w:rPr>
                <w:rFonts w:ascii="Arial" w:hAnsi="Arial" w:cs="Arial"/>
                <w:sz w:val="16"/>
                <w:szCs w:val="16"/>
                <w:vertAlign w:val="superscript"/>
              </w:rPr>
              <w:t>3</w:t>
            </w:r>
          </w:p>
        </w:tc>
        <w:tc>
          <w:tcPr>
            <w:tcW w:w="1309" w:type="dxa"/>
            <w:tcBorders>
              <w:top w:val="nil"/>
              <w:left w:val="nil"/>
              <w:bottom w:val="single" w:sz="4" w:space="0" w:color="auto"/>
              <w:right w:val="nil"/>
            </w:tcBorders>
            <w:shd w:val="clear" w:color="auto" w:fill="auto"/>
            <w:vAlign w:val="center"/>
            <w:hideMark/>
          </w:tcPr>
          <w:p w:rsidR="00624F97" w:rsidRPr="00624F97" w:rsidRDefault="00624F97" w:rsidP="00624F97">
            <w:pPr>
              <w:jc w:val="center"/>
              <w:rPr>
                <w:rFonts w:ascii="Arial" w:hAnsi="Arial" w:cs="Arial"/>
                <w:sz w:val="16"/>
                <w:szCs w:val="16"/>
              </w:rPr>
            </w:pPr>
            <w:r w:rsidRPr="00624F97">
              <w:rPr>
                <w:rFonts w:ascii="Arial" w:hAnsi="Arial" w:cs="Arial"/>
                <w:sz w:val="16"/>
                <w:szCs w:val="16"/>
              </w:rPr>
              <w:t>Child mortality rate</w:t>
            </w:r>
            <w:r w:rsidRPr="00624F97">
              <w:rPr>
                <w:rFonts w:ascii="Arial" w:hAnsi="Arial" w:cs="Arial"/>
                <w:sz w:val="16"/>
                <w:szCs w:val="16"/>
                <w:vertAlign w:val="superscript"/>
              </w:rPr>
              <w:t>4</w:t>
            </w:r>
          </w:p>
        </w:tc>
        <w:tc>
          <w:tcPr>
            <w:tcW w:w="1683" w:type="dxa"/>
            <w:tcBorders>
              <w:top w:val="nil"/>
              <w:left w:val="nil"/>
              <w:bottom w:val="single" w:sz="4" w:space="0" w:color="auto"/>
              <w:right w:val="single" w:sz="4" w:space="0" w:color="auto"/>
            </w:tcBorders>
            <w:shd w:val="clear" w:color="auto" w:fill="auto"/>
            <w:vAlign w:val="center"/>
            <w:hideMark/>
          </w:tcPr>
          <w:p w:rsidR="00624F97" w:rsidRPr="00624F97" w:rsidRDefault="00624F97" w:rsidP="00624F97">
            <w:pPr>
              <w:jc w:val="center"/>
              <w:rPr>
                <w:rFonts w:ascii="Arial" w:hAnsi="Arial" w:cs="Arial"/>
                <w:sz w:val="16"/>
                <w:szCs w:val="16"/>
              </w:rPr>
            </w:pPr>
            <w:r w:rsidRPr="00624F97">
              <w:rPr>
                <w:rFonts w:ascii="Arial" w:hAnsi="Arial" w:cs="Arial"/>
                <w:sz w:val="16"/>
                <w:szCs w:val="16"/>
              </w:rPr>
              <w:t>Under-five mortality rate</w:t>
            </w:r>
            <w:r w:rsidRPr="00624F97">
              <w:rPr>
                <w:rFonts w:ascii="Arial" w:hAnsi="Arial" w:cs="Arial"/>
                <w:sz w:val="16"/>
                <w:szCs w:val="16"/>
                <w:vertAlign w:val="superscript"/>
              </w:rPr>
              <w:t>5</w:t>
            </w:r>
          </w:p>
        </w:tc>
      </w:tr>
      <w:tr w:rsidR="00624F97" w:rsidRPr="00624F97" w:rsidTr="007B5A6F">
        <w:trPr>
          <w:trHeight w:val="284"/>
          <w:jc w:val="center"/>
        </w:trPr>
        <w:tc>
          <w:tcPr>
            <w:tcW w:w="2035" w:type="dxa"/>
            <w:tcBorders>
              <w:top w:val="nil"/>
              <w:left w:val="single" w:sz="4" w:space="0" w:color="auto"/>
              <w:bottom w:val="nil"/>
              <w:right w:val="nil"/>
            </w:tcBorders>
            <w:shd w:val="clear" w:color="auto" w:fill="auto"/>
            <w:vAlign w:val="center"/>
            <w:hideMark/>
          </w:tcPr>
          <w:p w:rsidR="00624F97" w:rsidRPr="00624F97" w:rsidRDefault="00624F97" w:rsidP="00624F97">
            <w:pPr>
              <w:rPr>
                <w:rFonts w:ascii="Arial" w:hAnsi="Arial" w:cs="Arial"/>
                <w:b/>
                <w:bCs/>
                <w:sz w:val="16"/>
                <w:szCs w:val="16"/>
              </w:rPr>
            </w:pPr>
            <w:r w:rsidRPr="00624F97">
              <w:rPr>
                <w:rFonts w:ascii="Arial" w:hAnsi="Arial" w:cs="Arial"/>
                <w:b/>
                <w:bCs/>
                <w:sz w:val="16"/>
                <w:szCs w:val="16"/>
              </w:rPr>
              <w:t> </w:t>
            </w:r>
          </w:p>
        </w:tc>
        <w:tc>
          <w:tcPr>
            <w:tcW w:w="1537" w:type="dxa"/>
            <w:tcBorders>
              <w:top w:val="nil"/>
              <w:left w:val="nil"/>
              <w:bottom w:val="nil"/>
              <w:right w:val="nil"/>
            </w:tcBorders>
            <w:shd w:val="clear" w:color="auto" w:fill="auto"/>
            <w:vAlign w:val="center"/>
            <w:hideMark/>
          </w:tcPr>
          <w:p w:rsidR="00624F97" w:rsidRPr="00624F97" w:rsidRDefault="00624F97" w:rsidP="00624F97">
            <w:pPr>
              <w:jc w:val="right"/>
              <w:rPr>
                <w:rFonts w:ascii="Arial" w:hAnsi="Arial" w:cs="Arial"/>
                <w:sz w:val="16"/>
                <w:szCs w:val="16"/>
              </w:rPr>
            </w:pPr>
            <w:r w:rsidRPr="00624F97">
              <w:rPr>
                <w:rFonts w:ascii="Arial" w:hAnsi="Arial" w:cs="Arial"/>
                <w:sz w:val="16"/>
                <w:szCs w:val="16"/>
              </w:rPr>
              <w:t> </w:t>
            </w:r>
          </w:p>
        </w:tc>
        <w:tc>
          <w:tcPr>
            <w:tcW w:w="1599" w:type="dxa"/>
            <w:tcBorders>
              <w:top w:val="nil"/>
              <w:left w:val="nil"/>
              <w:bottom w:val="nil"/>
              <w:right w:val="nil"/>
            </w:tcBorders>
            <w:shd w:val="clear" w:color="auto" w:fill="auto"/>
            <w:vAlign w:val="center"/>
            <w:hideMark/>
          </w:tcPr>
          <w:p w:rsidR="00624F97" w:rsidRPr="00624F97" w:rsidRDefault="00624F97" w:rsidP="00624F97">
            <w:pPr>
              <w:jc w:val="right"/>
              <w:rPr>
                <w:rFonts w:ascii="Arial" w:hAnsi="Arial" w:cs="Arial"/>
                <w:sz w:val="16"/>
                <w:szCs w:val="16"/>
              </w:rPr>
            </w:pPr>
            <w:r w:rsidRPr="00624F97">
              <w:rPr>
                <w:rFonts w:ascii="Arial" w:hAnsi="Arial" w:cs="Arial"/>
                <w:sz w:val="16"/>
                <w:szCs w:val="16"/>
              </w:rPr>
              <w:t> </w:t>
            </w:r>
          </w:p>
        </w:tc>
        <w:tc>
          <w:tcPr>
            <w:tcW w:w="1413" w:type="dxa"/>
            <w:tcBorders>
              <w:top w:val="nil"/>
              <w:left w:val="nil"/>
              <w:bottom w:val="nil"/>
              <w:right w:val="nil"/>
            </w:tcBorders>
            <w:shd w:val="clear" w:color="auto" w:fill="auto"/>
            <w:vAlign w:val="center"/>
            <w:hideMark/>
          </w:tcPr>
          <w:p w:rsidR="00624F97" w:rsidRPr="00624F97" w:rsidRDefault="00624F97" w:rsidP="00624F97">
            <w:pPr>
              <w:jc w:val="right"/>
              <w:rPr>
                <w:rFonts w:ascii="Arial" w:hAnsi="Arial" w:cs="Arial"/>
                <w:sz w:val="16"/>
                <w:szCs w:val="16"/>
              </w:rPr>
            </w:pPr>
            <w:r w:rsidRPr="00624F97">
              <w:rPr>
                <w:rFonts w:ascii="Arial" w:hAnsi="Arial" w:cs="Arial"/>
                <w:sz w:val="16"/>
                <w:szCs w:val="16"/>
              </w:rPr>
              <w:t> </w:t>
            </w:r>
          </w:p>
        </w:tc>
        <w:tc>
          <w:tcPr>
            <w:tcW w:w="1309" w:type="dxa"/>
            <w:tcBorders>
              <w:top w:val="nil"/>
              <w:left w:val="nil"/>
              <w:bottom w:val="nil"/>
              <w:right w:val="nil"/>
            </w:tcBorders>
            <w:shd w:val="clear" w:color="auto" w:fill="auto"/>
            <w:vAlign w:val="center"/>
            <w:hideMark/>
          </w:tcPr>
          <w:p w:rsidR="00624F97" w:rsidRPr="00624F97" w:rsidRDefault="00624F97" w:rsidP="00624F97">
            <w:pPr>
              <w:jc w:val="right"/>
              <w:rPr>
                <w:rFonts w:ascii="Arial" w:hAnsi="Arial" w:cs="Arial"/>
                <w:sz w:val="16"/>
                <w:szCs w:val="16"/>
              </w:rPr>
            </w:pPr>
            <w:r w:rsidRPr="00624F97">
              <w:rPr>
                <w:rFonts w:ascii="Arial" w:hAnsi="Arial" w:cs="Arial"/>
                <w:sz w:val="16"/>
                <w:szCs w:val="16"/>
              </w:rPr>
              <w:t> </w:t>
            </w:r>
          </w:p>
        </w:tc>
        <w:tc>
          <w:tcPr>
            <w:tcW w:w="1683" w:type="dxa"/>
            <w:tcBorders>
              <w:top w:val="nil"/>
              <w:left w:val="nil"/>
              <w:bottom w:val="nil"/>
              <w:right w:val="single" w:sz="4" w:space="0" w:color="auto"/>
            </w:tcBorders>
            <w:shd w:val="clear" w:color="auto" w:fill="auto"/>
            <w:vAlign w:val="center"/>
            <w:hideMark/>
          </w:tcPr>
          <w:p w:rsidR="00624F97" w:rsidRPr="00624F97" w:rsidRDefault="00624F97" w:rsidP="00624F97">
            <w:pPr>
              <w:jc w:val="right"/>
              <w:rPr>
                <w:rFonts w:ascii="Arial" w:hAnsi="Arial" w:cs="Arial"/>
                <w:sz w:val="16"/>
                <w:szCs w:val="16"/>
              </w:rPr>
            </w:pPr>
            <w:r w:rsidRPr="00624F97">
              <w:rPr>
                <w:rFonts w:ascii="Arial" w:hAnsi="Arial" w:cs="Arial"/>
                <w:sz w:val="16"/>
                <w:szCs w:val="16"/>
              </w:rPr>
              <w:t> </w:t>
            </w:r>
          </w:p>
        </w:tc>
      </w:tr>
      <w:tr w:rsidR="00624F97" w:rsidRPr="00624F97" w:rsidTr="007B5A6F">
        <w:trPr>
          <w:trHeight w:val="284"/>
          <w:jc w:val="center"/>
        </w:trPr>
        <w:tc>
          <w:tcPr>
            <w:tcW w:w="3572" w:type="dxa"/>
            <w:gridSpan w:val="2"/>
            <w:tcBorders>
              <w:top w:val="nil"/>
              <w:left w:val="single" w:sz="4" w:space="0" w:color="auto"/>
              <w:bottom w:val="nil"/>
              <w:right w:val="nil"/>
            </w:tcBorders>
            <w:shd w:val="clear" w:color="auto" w:fill="auto"/>
            <w:noWrap/>
            <w:vAlign w:val="center"/>
            <w:hideMark/>
          </w:tcPr>
          <w:p w:rsidR="00624F97" w:rsidRPr="00624F97" w:rsidRDefault="00624F97" w:rsidP="00624F97">
            <w:pPr>
              <w:rPr>
                <w:rFonts w:ascii="Arial" w:hAnsi="Arial" w:cs="Arial"/>
                <w:b/>
                <w:bCs/>
                <w:sz w:val="16"/>
                <w:szCs w:val="16"/>
              </w:rPr>
            </w:pPr>
            <w:r w:rsidRPr="00624F97">
              <w:rPr>
                <w:rFonts w:ascii="Arial" w:hAnsi="Arial" w:cs="Arial"/>
                <w:b/>
                <w:bCs/>
                <w:sz w:val="16"/>
                <w:szCs w:val="16"/>
              </w:rPr>
              <w:t>Years preceding the survey</w:t>
            </w:r>
          </w:p>
        </w:tc>
        <w:tc>
          <w:tcPr>
            <w:tcW w:w="1599" w:type="dxa"/>
            <w:tcBorders>
              <w:top w:val="nil"/>
              <w:left w:val="nil"/>
              <w:bottom w:val="nil"/>
              <w:right w:val="nil"/>
            </w:tcBorders>
            <w:shd w:val="clear" w:color="auto" w:fill="auto"/>
            <w:vAlign w:val="center"/>
            <w:hideMark/>
          </w:tcPr>
          <w:p w:rsidR="00624F97" w:rsidRPr="00624F97" w:rsidRDefault="00624F97" w:rsidP="00624F97">
            <w:pPr>
              <w:jc w:val="right"/>
              <w:rPr>
                <w:rFonts w:ascii="Arial" w:hAnsi="Arial" w:cs="Arial"/>
                <w:b/>
                <w:bCs/>
                <w:sz w:val="16"/>
                <w:szCs w:val="16"/>
              </w:rPr>
            </w:pPr>
          </w:p>
        </w:tc>
        <w:tc>
          <w:tcPr>
            <w:tcW w:w="1413" w:type="dxa"/>
            <w:tcBorders>
              <w:top w:val="nil"/>
              <w:left w:val="nil"/>
              <w:bottom w:val="nil"/>
              <w:right w:val="nil"/>
            </w:tcBorders>
            <w:shd w:val="clear" w:color="auto" w:fill="auto"/>
            <w:vAlign w:val="center"/>
            <w:hideMark/>
          </w:tcPr>
          <w:p w:rsidR="00624F97" w:rsidRPr="00624F97" w:rsidRDefault="00624F97" w:rsidP="00624F97">
            <w:pPr>
              <w:jc w:val="right"/>
              <w:rPr>
                <w:rFonts w:ascii="Arial" w:hAnsi="Arial" w:cs="Arial"/>
                <w:sz w:val="16"/>
                <w:szCs w:val="16"/>
              </w:rPr>
            </w:pPr>
          </w:p>
        </w:tc>
        <w:tc>
          <w:tcPr>
            <w:tcW w:w="1309" w:type="dxa"/>
            <w:tcBorders>
              <w:top w:val="nil"/>
              <w:left w:val="nil"/>
              <w:bottom w:val="nil"/>
              <w:right w:val="nil"/>
            </w:tcBorders>
            <w:shd w:val="clear" w:color="auto" w:fill="auto"/>
            <w:vAlign w:val="center"/>
            <w:hideMark/>
          </w:tcPr>
          <w:p w:rsidR="00624F97" w:rsidRPr="00624F97" w:rsidRDefault="00624F97" w:rsidP="00624F97">
            <w:pPr>
              <w:jc w:val="right"/>
              <w:rPr>
                <w:rFonts w:ascii="Arial" w:hAnsi="Arial" w:cs="Arial"/>
                <w:sz w:val="16"/>
                <w:szCs w:val="16"/>
              </w:rPr>
            </w:pPr>
          </w:p>
        </w:tc>
        <w:tc>
          <w:tcPr>
            <w:tcW w:w="1683" w:type="dxa"/>
            <w:tcBorders>
              <w:top w:val="nil"/>
              <w:left w:val="nil"/>
              <w:bottom w:val="nil"/>
              <w:right w:val="single" w:sz="4" w:space="0" w:color="auto"/>
            </w:tcBorders>
            <w:shd w:val="clear" w:color="auto" w:fill="auto"/>
            <w:vAlign w:val="center"/>
            <w:hideMark/>
          </w:tcPr>
          <w:p w:rsidR="00624F97" w:rsidRPr="00624F97" w:rsidRDefault="00624F97" w:rsidP="00624F97">
            <w:pPr>
              <w:jc w:val="right"/>
              <w:rPr>
                <w:rFonts w:ascii="Arial" w:hAnsi="Arial" w:cs="Arial"/>
                <w:sz w:val="16"/>
                <w:szCs w:val="16"/>
              </w:rPr>
            </w:pPr>
            <w:r w:rsidRPr="00624F97">
              <w:rPr>
                <w:rFonts w:ascii="Arial" w:hAnsi="Arial" w:cs="Arial"/>
                <w:sz w:val="16"/>
                <w:szCs w:val="16"/>
              </w:rPr>
              <w:t> </w:t>
            </w:r>
          </w:p>
        </w:tc>
      </w:tr>
      <w:tr w:rsidR="007B5A6F" w:rsidRPr="00624F97" w:rsidTr="007B5A6F">
        <w:trPr>
          <w:trHeight w:val="284"/>
          <w:jc w:val="center"/>
        </w:trPr>
        <w:tc>
          <w:tcPr>
            <w:tcW w:w="2035" w:type="dxa"/>
            <w:tcBorders>
              <w:top w:val="nil"/>
              <w:left w:val="single" w:sz="4" w:space="0" w:color="auto"/>
              <w:bottom w:val="nil"/>
              <w:right w:val="nil"/>
            </w:tcBorders>
            <w:shd w:val="clear" w:color="auto" w:fill="auto"/>
            <w:vAlign w:val="center"/>
            <w:hideMark/>
          </w:tcPr>
          <w:p w:rsidR="007B5A6F" w:rsidRPr="00624F97" w:rsidRDefault="007B5A6F" w:rsidP="00624F97">
            <w:pPr>
              <w:ind w:firstLineChars="100" w:firstLine="160"/>
              <w:rPr>
                <w:rFonts w:ascii="Arial" w:hAnsi="Arial" w:cs="Arial"/>
                <w:sz w:val="16"/>
                <w:szCs w:val="16"/>
              </w:rPr>
            </w:pPr>
            <w:r w:rsidRPr="00624F97">
              <w:rPr>
                <w:rFonts w:ascii="Arial" w:hAnsi="Arial" w:cs="Arial"/>
                <w:sz w:val="16"/>
                <w:szCs w:val="16"/>
              </w:rPr>
              <w:t>0-4</w:t>
            </w:r>
          </w:p>
        </w:tc>
        <w:tc>
          <w:tcPr>
            <w:tcW w:w="1537"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11.2</w:t>
            </w:r>
          </w:p>
        </w:tc>
        <w:tc>
          <w:tcPr>
            <w:tcW w:w="159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7.1</w:t>
            </w:r>
          </w:p>
        </w:tc>
        <w:tc>
          <w:tcPr>
            <w:tcW w:w="1413"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18.2</w:t>
            </w:r>
          </w:p>
        </w:tc>
        <w:tc>
          <w:tcPr>
            <w:tcW w:w="130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3.6</w:t>
            </w:r>
          </w:p>
        </w:tc>
        <w:tc>
          <w:tcPr>
            <w:tcW w:w="1683" w:type="dxa"/>
            <w:tcBorders>
              <w:top w:val="nil"/>
              <w:left w:val="nil"/>
              <w:bottom w:val="nil"/>
              <w:right w:val="single" w:sz="4" w:space="0" w:color="auto"/>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21.7</w:t>
            </w:r>
          </w:p>
        </w:tc>
      </w:tr>
      <w:tr w:rsidR="007B5A6F" w:rsidRPr="00624F97" w:rsidTr="007B5A6F">
        <w:trPr>
          <w:trHeight w:val="284"/>
          <w:jc w:val="center"/>
        </w:trPr>
        <w:tc>
          <w:tcPr>
            <w:tcW w:w="2035" w:type="dxa"/>
            <w:tcBorders>
              <w:top w:val="nil"/>
              <w:left w:val="single" w:sz="4" w:space="0" w:color="auto"/>
              <w:bottom w:val="nil"/>
              <w:right w:val="nil"/>
            </w:tcBorders>
            <w:shd w:val="clear" w:color="auto" w:fill="auto"/>
            <w:vAlign w:val="center"/>
            <w:hideMark/>
          </w:tcPr>
          <w:p w:rsidR="007B5A6F" w:rsidRPr="00624F97" w:rsidRDefault="007B5A6F" w:rsidP="00624F97">
            <w:pPr>
              <w:ind w:firstLineChars="100" w:firstLine="160"/>
              <w:rPr>
                <w:rFonts w:ascii="Arial" w:hAnsi="Arial" w:cs="Arial"/>
                <w:sz w:val="16"/>
                <w:szCs w:val="16"/>
              </w:rPr>
            </w:pPr>
            <w:r w:rsidRPr="00624F97">
              <w:rPr>
                <w:rFonts w:ascii="Arial" w:hAnsi="Arial" w:cs="Arial"/>
                <w:sz w:val="16"/>
                <w:szCs w:val="16"/>
              </w:rPr>
              <w:t>5-9</w:t>
            </w:r>
          </w:p>
        </w:tc>
        <w:tc>
          <w:tcPr>
            <w:tcW w:w="1537"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11.8</w:t>
            </w:r>
          </w:p>
        </w:tc>
        <w:tc>
          <w:tcPr>
            <w:tcW w:w="159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8.6</w:t>
            </w:r>
          </w:p>
        </w:tc>
        <w:tc>
          <w:tcPr>
            <w:tcW w:w="1413"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20.3</w:t>
            </w:r>
          </w:p>
        </w:tc>
        <w:tc>
          <w:tcPr>
            <w:tcW w:w="130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3.8</w:t>
            </w:r>
          </w:p>
        </w:tc>
        <w:tc>
          <w:tcPr>
            <w:tcW w:w="1683" w:type="dxa"/>
            <w:tcBorders>
              <w:top w:val="nil"/>
              <w:left w:val="nil"/>
              <w:bottom w:val="nil"/>
              <w:right w:val="single" w:sz="4" w:space="0" w:color="auto"/>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24.1</w:t>
            </w:r>
          </w:p>
        </w:tc>
      </w:tr>
      <w:tr w:rsidR="007B5A6F" w:rsidRPr="00624F97" w:rsidTr="007B5A6F">
        <w:trPr>
          <w:trHeight w:val="284"/>
          <w:jc w:val="center"/>
        </w:trPr>
        <w:tc>
          <w:tcPr>
            <w:tcW w:w="2035" w:type="dxa"/>
            <w:tcBorders>
              <w:top w:val="nil"/>
              <w:left w:val="single" w:sz="4" w:space="0" w:color="auto"/>
              <w:bottom w:val="nil"/>
              <w:right w:val="nil"/>
            </w:tcBorders>
            <w:shd w:val="clear" w:color="auto" w:fill="auto"/>
            <w:vAlign w:val="center"/>
            <w:hideMark/>
          </w:tcPr>
          <w:p w:rsidR="007B5A6F" w:rsidRPr="00624F97" w:rsidRDefault="007B5A6F" w:rsidP="00624F97">
            <w:pPr>
              <w:ind w:firstLineChars="100" w:firstLine="160"/>
              <w:rPr>
                <w:rFonts w:ascii="Arial" w:hAnsi="Arial" w:cs="Arial"/>
                <w:sz w:val="16"/>
                <w:szCs w:val="16"/>
              </w:rPr>
            </w:pPr>
            <w:r w:rsidRPr="00624F97">
              <w:rPr>
                <w:rFonts w:ascii="Arial" w:hAnsi="Arial" w:cs="Arial"/>
                <w:sz w:val="16"/>
                <w:szCs w:val="16"/>
              </w:rPr>
              <w:t>10-14</w:t>
            </w:r>
          </w:p>
        </w:tc>
        <w:tc>
          <w:tcPr>
            <w:tcW w:w="1537"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12.9</w:t>
            </w:r>
          </w:p>
        </w:tc>
        <w:tc>
          <w:tcPr>
            <w:tcW w:w="159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8.4</w:t>
            </w:r>
          </w:p>
        </w:tc>
        <w:tc>
          <w:tcPr>
            <w:tcW w:w="1413"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21.3</w:t>
            </w:r>
          </w:p>
        </w:tc>
        <w:tc>
          <w:tcPr>
            <w:tcW w:w="130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2.2</w:t>
            </w:r>
          </w:p>
        </w:tc>
        <w:tc>
          <w:tcPr>
            <w:tcW w:w="1683" w:type="dxa"/>
            <w:tcBorders>
              <w:top w:val="nil"/>
              <w:left w:val="nil"/>
              <w:bottom w:val="nil"/>
              <w:right w:val="single" w:sz="4" w:space="0" w:color="auto"/>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23.4</w:t>
            </w:r>
          </w:p>
        </w:tc>
      </w:tr>
      <w:tr w:rsidR="007B5A6F" w:rsidRPr="00624F97" w:rsidTr="007B5A6F">
        <w:trPr>
          <w:trHeight w:val="284"/>
          <w:jc w:val="center"/>
        </w:trPr>
        <w:tc>
          <w:tcPr>
            <w:tcW w:w="2035" w:type="dxa"/>
            <w:tcBorders>
              <w:top w:val="nil"/>
              <w:left w:val="single" w:sz="4" w:space="0" w:color="auto"/>
              <w:bottom w:val="nil"/>
              <w:right w:val="nil"/>
            </w:tcBorders>
            <w:shd w:val="clear" w:color="auto" w:fill="auto"/>
            <w:vAlign w:val="center"/>
            <w:hideMark/>
          </w:tcPr>
          <w:p w:rsidR="007B5A6F" w:rsidRPr="00A86DB9" w:rsidRDefault="007B5A6F" w:rsidP="00A83DEA">
            <w:pPr>
              <w:ind w:firstLineChars="100" w:firstLine="160"/>
              <w:rPr>
                <w:rFonts w:ascii="Arial" w:hAnsi="Arial" w:cs="Arial"/>
                <w:sz w:val="16"/>
                <w:szCs w:val="16"/>
              </w:rPr>
            </w:pPr>
            <w:r w:rsidRPr="00A86DB9">
              <w:rPr>
                <w:rFonts w:ascii="Arial" w:hAnsi="Arial" w:cs="Arial"/>
                <w:sz w:val="16"/>
                <w:szCs w:val="16"/>
              </w:rPr>
              <w:t>15-19</w:t>
            </w:r>
          </w:p>
        </w:tc>
        <w:tc>
          <w:tcPr>
            <w:tcW w:w="1537"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13.2</w:t>
            </w:r>
          </w:p>
        </w:tc>
        <w:tc>
          <w:tcPr>
            <w:tcW w:w="159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9.6</w:t>
            </w:r>
          </w:p>
        </w:tc>
        <w:tc>
          <w:tcPr>
            <w:tcW w:w="1413"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22.8</w:t>
            </w:r>
          </w:p>
        </w:tc>
        <w:tc>
          <w:tcPr>
            <w:tcW w:w="1309" w:type="dxa"/>
            <w:tcBorders>
              <w:top w:val="nil"/>
              <w:left w:val="nil"/>
              <w:bottom w:val="nil"/>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5.9</w:t>
            </w:r>
          </w:p>
        </w:tc>
        <w:tc>
          <w:tcPr>
            <w:tcW w:w="1683" w:type="dxa"/>
            <w:tcBorders>
              <w:top w:val="nil"/>
              <w:left w:val="nil"/>
              <w:bottom w:val="nil"/>
              <w:right w:val="single" w:sz="4" w:space="0" w:color="auto"/>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28.6</w:t>
            </w:r>
          </w:p>
        </w:tc>
      </w:tr>
      <w:tr w:rsidR="007B5A6F" w:rsidRPr="00624F97" w:rsidTr="007B5A6F">
        <w:trPr>
          <w:trHeight w:val="284"/>
          <w:jc w:val="center"/>
        </w:trPr>
        <w:tc>
          <w:tcPr>
            <w:tcW w:w="2035" w:type="dxa"/>
            <w:tcBorders>
              <w:top w:val="nil"/>
              <w:left w:val="single" w:sz="4" w:space="0" w:color="auto"/>
              <w:bottom w:val="single" w:sz="4" w:space="0" w:color="auto"/>
              <w:right w:val="nil"/>
            </w:tcBorders>
            <w:shd w:val="clear" w:color="auto" w:fill="auto"/>
            <w:vAlign w:val="center"/>
            <w:hideMark/>
          </w:tcPr>
          <w:p w:rsidR="007B5A6F" w:rsidRPr="00A86DB9" w:rsidRDefault="007B5A6F" w:rsidP="00A83DEA">
            <w:pPr>
              <w:ind w:firstLineChars="100" w:firstLine="160"/>
              <w:rPr>
                <w:rFonts w:ascii="Arial" w:hAnsi="Arial" w:cs="Arial"/>
                <w:sz w:val="16"/>
                <w:szCs w:val="16"/>
              </w:rPr>
            </w:pPr>
            <w:r w:rsidRPr="00A86DB9">
              <w:rPr>
                <w:rFonts w:ascii="Arial" w:hAnsi="Arial" w:cs="Arial"/>
                <w:sz w:val="16"/>
                <w:szCs w:val="16"/>
              </w:rPr>
              <w:t>20-24</w:t>
            </w:r>
          </w:p>
        </w:tc>
        <w:tc>
          <w:tcPr>
            <w:tcW w:w="1537" w:type="dxa"/>
            <w:tcBorders>
              <w:top w:val="nil"/>
              <w:left w:val="nil"/>
              <w:bottom w:val="single" w:sz="4" w:space="0" w:color="auto"/>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20.3</w:t>
            </w:r>
          </w:p>
        </w:tc>
        <w:tc>
          <w:tcPr>
            <w:tcW w:w="1599" w:type="dxa"/>
            <w:tcBorders>
              <w:top w:val="nil"/>
              <w:left w:val="nil"/>
              <w:bottom w:val="single" w:sz="4" w:space="0" w:color="auto"/>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11.5</w:t>
            </w:r>
          </w:p>
        </w:tc>
        <w:tc>
          <w:tcPr>
            <w:tcW w:w="1413" w:type="dxa"/>
            <w:tcBorders>
              <w:top w:val="nil"/>
              <w:left w:val="nil"/>
              <w:bottom w:val="single" w:sz="4" w:space="0" w:color="auto"/>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31.9</w:t>
            </w:r>
          </w:p>
        </w:tc>
        <w:tc>
          <w:tcPr>
            <w:tcW w:w="1309" w:type="dxa"/>
            <w:tcBorders>
              <w:top w:val="nil"/>
              <w:left w:val="nil"/>
              <w:bottom w:val="single" w:sz="4" w:space="0" w:color="auto"/>
              <w:right w:val="nil"/>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10.0</w:t>
            </w:r>
          </w:p>
        </w:tc>
        <w:tc>
          <w:tcPr>
            <w:tcW w:w="1683" w:type="dxa"/>
            <w:tcBorders>
              <w:top w:val="nil"/>
              <w:left w:val="nil"/>
              <w:bottom w:val="single" w:sz="4" w:space="0" w:color="auto"/>
              <w:right w:val="single" w:sz="4" w:space="0" w:color="auto"/>
            </w:tcBorders>
            <w:shd w:val="clear" w:color="auto" w:fill="auto"/>
            <w:vAlign w:val="center"/>
            <w:hideMark/>
          </w:tcPr>
          <w:p w:rsidR="007B5A6F" w:rsidRPr="007B5A6F" w:rsidRDefault="007B5A6F">
            <w:pPr>
              <w:jc w:val="right"/>
              <w:rPr>
                <w:rFonts w:ascii="Arial" w:hAnsi="Arial" w:cs="Arial"/>
                <w:color w:val="000000"/>
                <w:sz w:val="16"/>
                <w:szCs w:val="16"/>
              </w:rPr>
            </w:pPr>
            <w:r w:rsidRPr="007B5A6F">
              <w:rPr>
                <w:rFonts w:ascii="Arial" w:hAnsi="Arial" w:cs="Arial"/>
                <w:color w:val="000000"/>
                <w:sz w:val="16"/>
                <w:szCs w:val="16"/>
              </w:rPr>
              <w:t>41.5</w:t>
            </w:r>
          </w:p>
        </w:tc>
      </w:tr>
      <w:tr w:rsidR="00624F97" w:rsidRPr="00624F97" w:rsidTr="007B5A6F">
        <w:trPr>
          <w:trHeight w:val="284"/>
          <w:jc w:val="center"/>
        </w:trPr>
        <w:tc>
          <w:tcPr>
            <w:tcW w:w="9576" w:type="dxa"/>
            <w:gridSpan w:val="6"/>
            <w:tcBorders>
              <w:top w:val="single" w:sz="4" w:space="0" w:color="auto"/>
              <w:bottom w:val="nil"/>
            </w:tcBorders>
            <w:shd w:val="clear" w:color="auto" w:fill="auto"/>
            <w:noWrap/>
            <w:vAlign w:val="center"/>
            <w:hideMark/>
          </w:tcPr>
          <w:p w:rsidR="00624F97" w:rsidRPr="0072053E" w:rsidRDefault="00624F97" w:rsidP="0072053E">
            <w:pPr>
              <w:rPr>
                <w:rFonts w:ascii="Arial" w:hAnsi="Arial" w:cs="Arial"/>
                <w:sz w:val="16"/>
                <w:szCs w:val="16"/>
              </w:rPr>
            </w:pPr>
            <w:r w:rsidRPr="0072053E">
              <w:rPr>
                <w:rFonts w:ascii="Arial" w:hAnsi="Arial" w:cs="Arial"/>
                <w:sz w:val="16"/>
                <w:szCs w:val="16"/>
                <w:vertAlign w:val="superscript"/>
              </w:rPr>
              <w:t>1</w:t>
            </w:r>
            <w:r w:rsidRPr="0072053E">
              <w:rPr>
                <w:rFonts w:ascii="Arial" w:hAnsi="Arial" w:cs="Arial"/>
                <w:sz w:val="16"/>
                <w:szCs w:val="16"/>
              </w:rPr>
              <w:t xml:space="preserve"> MICS indicator 1.1 - Neonatal mortality rate</w:t>
            </w:r>
          </w:p>
        </w:tc>
      </w:tr>
      <w:tr w:rsidR="00624F97" w:rsidRPr="00624F97" w:rsidTr="007B5A6F">
        <w:trPr>
          <w:trHeight w:val="284"/>
          <w:jc w:val="center"/>
        </w:trPr>
        <w:tc>
          <w:tcPr>
            <w:tcW w:w="9576" w:type="dxa"/>
            <w:gridSpan w:val="6"/>
            <w:tcBorders>
              <w:top w:val="nil"/>
              <w:bottom w:val="nil"/>
            </w:tcBorders>
            <w:shd w:val="clear" w:color="auto" w:fill="auto"/>
            <w:noWrap/>
            <w:vAlign w:val="center"/>
            <w:hideMark/>
          </w:tcPr>
          <w:p w:rsidR="00624F97" w:rsidRPr="0072053E" w:rsidRDefault="00624F97" w:rsidP="0072053E">
            <w:pPr>
              <w:rPr>
                <w:rFonts w:ascii="Arial" w:hAnsi="Arial" w:cs="Arial"/>
                <w:sz w:val="16"/>
                <w:szCs w:val="16"/>
              </w:rPr>
            </w:pPr>
            <w:r w:rsidRPr="0072053E">
              <w:rPr>
                <w:rFonts w:ascii="Arial" w:hAnsi="Arial" w:cs="Arial"/>
                <w:sz w:val="16"/>
                <w:szCs w:val="16"/>
                <w:vertAlign w:val="superscript"/>
              </w:rPr>
              <w:t>2</w:t>
            </w:r>
            <w:r w:rsidRPr="0072053E">
              <w:rPr>
                <w:rFonts w:ascii="Arial" w:hAnsi="Arial" w:cs="Arial"/>
                <w:sz w:val="16"/>
                <w:szCs w:val="16"/>
              </w:rPr>
              <w:t xml:space="preserve"> MICS indicator 1.3 - Post-neonatal mortality rate</w:t>
            </w:r>
          </w:p>
        </w:tc>
      </w:tr>
      <w:tr w:rsidR="00624F97" w:rsidRPr="00624F97" w:rsidTr="007B5A6F">
        <w:trPr>
          <w:trHeight w:val="284"/>
          <w:jc w:val="center"/>
        </w:trPr>
        <w:tc>
          <w:tcPr>
            <w:tcW w:w="9576" w:type="dxa"/>
            <w:gridSpan w:val="6"/>
            <w:tcBorders>
              <w:top w:val="nil"/>
              <w:bottom w:val="nil"/>
            </w:tcBorders>
            <w:shd w:val="clear" w:color="auto" w:fill="auto"/>
            <w:noWrap/>
            <w:vAlign w:val="center"/>
            <w:hideMark/>
          </w:tcPr>
          <w:p w:rsidR="00624F97" w:rsidRPr="0072053E" w:rsidRDefault="00624F97" w:rsidP="0072053E">
            <w:pPr>
              <w:rPr>
                <w:rFonts w:ascii="Arial" w:hAnsi="Arial" w:cs="Arial"/>
                <w:sz w:val="16"/>
                <w:szCs w:val="16"/>
              </w:rPr>
            </w:pPr>
            <w:r w:rsidRPr="0072053E">
              <w:rPr>
                <w:rFonts w:ascii="Arial" w:hAnsi="Arial" w:cs="Arial"/>
                <w:sz w:val="16"/>
                <w:szCs w:val="16"/>
                <w:vertAlign w:val="superscript"/>
              </w:rPr>
              <w:t>3</w:t>
            </w:r>
            <w:r w:rsidRPr="0072053E">
              <w:rPr>
                <w:rFonts w:ascii="Arial" w:hAnsi="Arial" w:cs="Arial"/>
                <w:sz w:val="16"/>
                <w:szCs w:val="16"/>
              </w:rPr>
              <w:t xml:space="preserve"> MICS indicator 1.2; MDG indicator 4.2 - Infant mortality rate</w:t>
            </w:r>
          </w:p>
        </w:tc>
      </w:tr>
      <w:tr w:rsidR="00624F97" w:rsidRPr="00624F97" w:rsidTr="007B5A6F">
        <w:trPr>
          <w:trHeight w:val="284"/>
          <w:jc w:val="center"/>
        </w:trPr>
        <w:tc>
          <w:tcPr>
            <w:tcW w:w="9576" w:type="dxa"/>
            <w:gridSpan w:val="6"/>
            <w:tcBorders>
              <w:top w:val="nil"/>
              <w:bottom w:val="nil"/>
            </w:tcBorders>
            <w:shd w:val="clear" w:color="auto" w:fill="auto"/>
            <w:noWrap/>
            <w:vAlign w:val="center"/>
            <w:hideMark/>
          </w:tcPr>
          <w:p w:rsidR="00624F97" w:rsidRPr="0072053E" w:rsidRDefault="00624F97" w:rsidP="0072053E">
            <w:pPr>
              <w:rPr>
                <w:rFonts w:ascii="Arial" w:hAnsi="Arial" w:cs="Arial"/>
                <w:sz w:val="16"/>
                <w:szCs w:val="16"/>
              </w:rPr>
            </w:pPr>
            <w:r w:rsidRPr="0072053E">
              <w:rPr>
                <w:rFonts w:ascii="Arial" w:hAnsi="Arial" w:cs="Arial"/>
                <w:sz w:val="16"/>
                <w:szCs w:val="16"/>
                <w:vertAlign w:val="superscript"/>
              </w:rPr>
              <w:t>4</w:t>
            </w:r>
            <w:r w:rsidRPr="0072053E">
              <w:rPr>
                <w:rFonts w:ascii="Arial" w:hAnsi="Arial" w:cs="Arial"/>
                <w:sz w:val="16"/>
                <w:szCs w:val="16"/>
              </w:rPr>
              <w:t xml:space="preserve"> MICS indicator 1.4 - Child mortality rate</w:t>
            </w:r>
          </w:p>
        </w:tc>
      </w:tr>
      <w:tr w:rsidR="00624F97" w:rsidRPr="00624F97" w:rsidTr="007B5A6F">
        <w:trPr>
          <w:trHeight w:val="284"/>
          <w:jc w:val="center"/>
        </w:trPr>
        <w:tc>
          <w:tcPr>
            <w:tcW w:w="9576" w:type="dxa"/>
            <w:gridSpan w:val="6"/>
            <w:tcBorders>
              <w:top w:val="nil"/>
              <w:bottom w:val="nil"/>
            </w:tcBorders>
            <w:shd w:val="clear" w:color="auto" w:fill="auto"/>
            <w:noWrap/>
            <w:vAlign w:val="center"/>
            <w:hideMark/>
          </w:tcPr>
          <w:p w:rsidR="00624F97" w:rsidRPr="0072053E" w:rsidRDefault="00624F97" w:rsidP="0072053E">
            <w:pPr>
              <w:rPr>
                <w:rFonts w:ascii="Arial" w:hAnsi="Arial" w:cs="Arial"/>
                <w:sz w:val="16"/>
                <w:szCs w:val="16"/>
              </w:rPr>
            </w:pPr>
            <w:r w:rsidRPr="0072053E">
              <w:rPr>
                <w:rFonts w:ascii="Arial" w:hAnsi="Arial" w:cs="Arial"/>
                <w:sz w:val="16"/>
                <w:szCs w:val="16"/>
                <w:vertAlign w:val="superscript"/>
              </w:rPr>
              <w:t>5</w:t>
            </w:r>
            <w:r w:rsidRPr="0072053E">
              <w:rPr>
                <w:rFonts w:ascii="Arial" w:hAnsi="Arial" w:cs="Arial"/>
                <w:sz w:val="16"/>
                <w:szCs w:val="16"/>
              </w:rPr>
              <w:t xml:space="preserve"> MICS indicator 1.5; MDG indicator 4.1 - Under-five mortality rate</w:t>
            </w:r>
          </w:p>
        </w:tc>
      </w:tr>
      <w:tr w:rsidR="00624F97" w:rsidRPr="00624F97" w:rsidTr="007B5A6F">
        <w:trPr>
          <w:trHeight w:val="284"/>
          <w:jc w:val="center"/>
        </w:trPr>
        <w:tc>
          <w:tcPr>
            <w:tcW w:w="9576" w:type="dxa"/>
            <w:gridSpan w:val="6"/>
            <w:tcBorders>
              <w:top w:val="nil"/>
            </w:tcBorders>
            <w:shd w:val="clear" w:color="auto" w:fill="auto"/>
            <w:vAlign w:val="center"/>
            <w:hideMark/>
          </w:tcPr>
          <w:p w:rsidR="00624F97" w:rsidRPr="0072053E" w:rsidRDefault="00624F97" w:rsidP="0072053E">
            <w:pPr>
              <w:rPr>
                <w:rFonts w:ascii="Arial" w:hAnsi="Arial" w:cs="Arial"/>
                <w:sz w:val="16"/>
                <w:szCs w:val="16"/>
              </w:rPr>
            </w:pPr>
            <w:r w:rsidRPr="0072053E">
              <w:rPr>
                <w:rFonts w:ascii="Arial" w:hAnsi="Arial" w:cs="Arial"/>
                <w:sz w:val="16"/>
                <w:szCs w:val="16"/>
                <w:vertAlign w:val="superscript"/>
              </w:rPr>
              <w:t>a</w:t>
            </w:r>
            <w:r w:rsidRPr="0072053E">
              <w:rPr>
                <w:rFonts w:ascii="Arial" w:hAnsi="Arial" w:cs="Arial"/>
                <w:sz w:val="16"/>
                <w:szCs w:val="16"/>
              </w:rPr>
              <w:t xml:space="preserve"> Post-neonatal mortality rates are computed as the difference between the infant and neonatal mortality rates</w:t>
            </w:r>
          </w:p>
        </w:tc>
      </w:tr>
    </w:tbl>
    <w:p w:rsidR="00BE52C3" w:rsidRDefault="00BE52C3" w:rsidP="0049204B">
      <w:pPr>
        <w:spacing w:line="264" w:lineRule="auto"/>
        <w:jc w:val="both"/>
        <w:rPr>
          <w:rFonts w:asciiTheme="minorHAnsi" w:hAnsiTheme="minorHAnsi" w:cstheme="minorHAnsi"/>
          <w:szCs w:val="24"/>
        </w:rPr>
      </w:pPr>
    </w:p>
    <w:p w:rsidR="00BE52C3" w:rsidRDefault="00BE52C3" w:rsidP="0049204B">
      <w:pPr>
        <w:spacing w:line="264" w:lineRule="auto"/>
        <w:jc w:val="both"/>
        <w:rPr>
          <w:rFonts w:asciiTheme="minorHAnsi" w:hAnsiTheme="minorHAnsi" w:cstheme="minorHAnsi"/>
          <w:szCs w:val="24"/>
        </w:rPr>
      </w:pPr>
    </w:p>
    <w:p w:rsidR="00C7610F" w:rsidRDefault="00B56BFB" w:rsidP="0049204B">
      <w:pPr>
        <w:spacing w:line="264" w:lineRule="auto"/>
        <w:jc w:val="both"/>
        <w:rPr>
          <w:rFonts w:asciiTheme="minorHAnsi" w:hAnsiTheme="minorHAnsi" w:cstheme="minorHAnsi"/>
          <w:szCs w:val="24"/>
        </w:rPr>
      </w:pPr>
      <w:proofErr w:type="gramStart"/>
      <w:r w:rsidRPr="005C6A01">
        <w:rPr>
          <w:rFonts w:asciiTheme="minorHAnsi" w:hAnsiTheme="minorHAnsi" w:cstheme="minorHAnsi"/>
          <w:szCs w:val="24"/>
        </w:rPr>
        <w:lastRenderedPageBreak/>
        <w:t xml:space="preserve">Table CM.1 </w:t>
      </w:r>
      <w:r w:rsidR="00BD712A" w:rsidRPr="005C6A01">
        <w:rPr>
          <w:rFonts w:asciiTheme="minorHAnsi" w:hAnsiTheme="minorHAnsi" w:cstheme="minorHAnsi"/>
          <w:szCs w:val="24"/>
        </w:rPr>
        <w:t xml:space="preserve">and Figure CM.1 </w:t>
      </w:r>
      <w:r w:rsidRPr="005C6A01">
        <w:rPr>
          <w:rFonts w:asciiTheme="minorHAnsi" w:hAnsiTheme="minorHAnsi" w:cstheme="minorHAnsi"/>
          <w:szCs w:val="24"/>
        </w:rPr>
        <w:t>present neonatal, post-neonatal, infant, child, and under-five mortality rates for the three most recent five-year periods before the survey.</w:t>
      </w:r>
      <w:proofErr w:type="gramEnd"/>
      <w:r w:rsidRPr="005C6A01">
        <w:rPr>
          <w:rFonts w:asciiTheme="minorHAnsi" w:hAnsiTheme="minorHAnsi" w:cstheme="minorHAnsi"/>
          <w:szCs w:val="24"/>
        </w:rPr>
        <w:t xml:space="preserve"> Neonatal mortality in the most recent 5-year period is estimated at </w:t>
      </w:r>
      <w:r w:rsidR="00565FEC" w:rsidRPr="005C6A01">
        <w:rPr>
          <w:rFonts w:asciiTheme="minorHAnsi" w:hAnsiTheme="minorHAnsi" w:cstheme="minorHAnsi"/>
          <w:bCs/>
          <w:szCs w:val="24"/>
        </w:rPr>
        <w:t>11</w:t>
      </w:r>
      <w:r w:rsidRPr="005C6A01">
        <w:rPr>
          <w:rFonts w:asciiTheme="minorHAnsi" w:hAnsiTheme="minorHAnsi" w:cstheme="minorHAnsi"/>
          <w:szCs w:val="24"/>
        </w:rPr>
        <w:t xml:space="preserve"> per 1,000 live births, while the post-neonatal mortality rate is estimated at </w:t>
      </w:r>
      <w:r w:rsidR="00565FEC" w:rsidRPr="005C6A01">
        <w:rPr>
          <w:rFonts w:asciiTheme="minorHAnsi" w:hAnsiTheme="minorHAnsi" w:cstheme="minorHAnsi"/>
          <w:bCs/>
          <w:szCs w:val="24"/>
        </w:rPr>
        <w:t>7</w:t>
      </w:r>
      <w:r w:rsidRPr="005C6A01">
        <w:rPr>
          <w:rFonts w:asciiTheme="minorHAnsi" w:hAnsiTheme="minorHAnsi" w:cstheme="minorHAnsi"/>
          <w:szCs w:val="24"/>
        </w:rPr>
        <w:t xml:space="preserve"> per 1,000 live births.</w:t>
      </w:r>
      <w:r w:rsidR="0049204B" w:rsidRPr="0049204B">
        <w:rPr>
          <w:rFonts w:asciiTheme="minorHAnsi" w:hAnsiTheme="minorHAnsi" w:cstheme="minorHAnsi"/>
          <w:szCs w:val="24"/>
        </w:rPr>
        <w:t xml:space="preserve"> </w:t>
      </w:r>
      <w:r w:rsidR="0049204B">
        <w:rPr>
          <w:rFonts w:asciiTheme="minorHAnsi" w:hAnsiTheme="minorHAnsi" w:cstheme="minorHAnsi"/>
          <w:szCs w:val="24"/>
        </w:rPr>
        <w:t xml:space="preserve">The table and figure also </w:t>
      </w:r>
      <w:r w:rsidR="0049204B" w:rsidRPr="0049204B">
        <w:rPr>
          <w:rFonts w:asciiTheme="minorHAnsi" w:hAnsiTheme="minorHAnsi" w:cstheme="minorHAnsi"/>
          <w:szCs w:val="24"/>
        </w:rPr>
        <w:t>show a declining trend</w:t>
      </w:r>
      <w:r w:rsidR="0049204B">
        <w:rPr>
          <w:rFonts w:asciiTheme="minorHAnsi" w:hAnsiTheme="minorHAnsi" w:cstheme="minorHAnsi"/>
          <w:szCs w:val="24"/>
        </w:rPr>
        <w:t xml:space="preserve"> at the national level, during the last 15 years, with under-five mortality at </w:t>
      </w:r>
      <w:r w:rsidR="0049204B">
        <w:rPr>
          <w:rFonts w:asciiTheme="minorHAnsi" w:hAnsiTheme="minorHAnsi" w:cstheme="minorHAnsi"/>
          <w:bCs/>
          <w:szCs w:val="24"/>
        </w:rPr>
        <w:t>23</w:t>
      </w:r>
      <w:r w:rsidR="0049204B">
        <w:rPr>
          <w:rFonts w:asciiTheme="minorHAnsi" w:hAnsiTheme="minorHAnsi" w:cstheme="minorHAnsi"/>
          <w:szCs w:val="24"/>
        </w:rPr>
        <w:t xml:space="preserve"> per 1,000 during the 10-14 year period preceding the survey, and 22 per 1,000 live births during the most recent 5-year period. A similar pattern is observed in all other </w:t>
      </w:r>
      <w:r w:rsidR="00D312BA">
        <w:rPr>
          <w:rFonts w:asciiTheme="minorHAnsi" w:hAnsiTheme="minorHAnsi" w:cstheme="minorHAnsi"/>
          <w:szCs w:val="24"/>
        </w:rPr>
        <w:t xml:space="preserve">early childhood mortality </w:t>
      </w:r>
      <w:r w:rsidR="0049204B">
        <w:rPr>
          <w:rFonts w:asciiTheme="minorHAnsi" w:hAnsiTheme="minorHAnsi" w:cstheme="minorHAnsi"/>
          <w:szCs w:val="24"/>
        </w:rPr>
        <w:t>indicators.</w:t>
      </w:r>
    </w:p>
    <w:p w:rsidR="001C0A0B" w:rsidRDefault="001C0A0B" w:rsidP="0049204B">
      <w:pPr>
        <w:spacing w:line="264" w:lineRule="auto"/>
        <w:jc w:val="both"/>
        <w:rPr>
          <w:rFonts w:asciiTheme="minorHAnsi" w:hAnsiTheme="minorHAnsi" w:cstheme="minorHAnsi"/>
          <w:szCs w:val="24"/>
        </w:rPr>
      </w:pPr>
    </w:p>
    <w:p w:rsidR="001C0A0B" w:rsidRPr="005C6A01" w:rsidRDefault="001C0A0B" w:rsidP="0049204B">
      <w:pPr>
        <w:spacing w:line="264" w:lineRule="auto"/>
        <w:jc w:val="both"/>
        <w:rPr>
          <w:rFonts w:asciiTheme="minorHAnsi" w:hAnsiTheme="minorHAnsi" w:cstheme="minorHAnsi"/>
          <w:szCs w:val="24"/>
        </w:rPr>
      </w:pPr>
      <w:r>
        <w:rPr>
          <w:rFonts w:ascii="Calibri" w:eastAsia="Calibri" w:hAnsi="Calibri" w:cs="Calibri"/>
          <w:szCs w:val="22"/>
        </w:rPr>
        <w:t>The tables show that some improvement has taken place during the last 15 years. Infant mortality rate in the five years preceding the survey was at 18 per 1,000 live births with 17 per 1000 live births in the West Bank compared to 20 per 1000 live births in the Gaza Strip. Estimates of under-five mortality were 22 per 1,000 live births for the same period, with 20 per 1000 live birth in the West Bank and 24 per 1000 live birth in the Gaza Strip. The estimates roughly refer to the most recent 5 year period, roughly referring to the years 2010-2014.</w:t>
      </w:r>
    </w:p>
    <w:p w:rsidR="0072053E" w:rsidRDefault="0072053E" w:rsidP="001C0F18">
      <w:pPr>
        <w:spacing w:line="264" w:lineRule="auto"/>
        <w:jc w:val="both"/>
        <w:rPr>
          <w:rFonts w:asciiTheme="minorHAnsi" w:hAnsiTheme="minorHAnsi" w:cstheme="minorHAnsi"/>
          <w:szCs w:val="24"/>
        </w:rPr>
      </w:pPr>
    </w:p>
    <w:p w:rsidR="00A83DEA" w:rsidRDefault="00A83DEA" w:rsidP="00015176">
      <w:pPr>
        <w:spacing w:line="264" w:lineRule="auto"/>
        <w:rPr>
          <w:rFonts w:asciiTheme="minorHAnsi" w:hAnsiTheme="minorHAnsi" w:cstheme="minorHAnsi"/>
          <w:szCs w:val="24"/>
        </w:rPr>
      </w:pPr>
    </w:p>
    <w:p w:rsidR="00A83DEA" w:rsidRPr="00965721" w:rsidRDefault="00BD712A" w:rsidP="002D1451">
      <w:pPr>
        <w:spacing w:line="264" w:lineRule="auto"/>
        <w:rPr>
          <w:rFonts w:asciiTheme="minorHAnsi" w:hAnsiTheme="minorHAnsi"/>
          <w:szCs w:val="22"/>
        </w:rPr>
      </w:pPr>
      <w:r w:rsidRPr="00965721">
        <w:rPr>
          <w:rFonts w:asciiTheme="minorHAnsi" w:hAnsiTheme="minorHAnsi"/>
          <w:b/>
          <w:spacing w:val="30"/>
          <w:szCs w:val="22"/>
        </w:rPr>
        <w:t>Figure CM.1: Early childhood mortality rates,</w:t>
      </w:r>
      <w:r w:rsidR="00A83DEA" w:rsidRPr="00965721">
        <w:rPr>
          <w:rFonts w:asciiTheme="minorHAnsi" w:hAnsiTheme="minorHAnsi"/>
          <w:b/>
          <w:spacing w:val="30"/>
          <w:szCs w:val="22"/>
          <w:lang w:val="en-GB"/>
        </w:rPr>
        <w:t xml:space="preserve"> </w:t>
      </w:r>
      <w:r w:rsidR="002D1451">
        <w:rPr>
          <w:rFonts w:asciiTheme="minorHAnsi" w:hAnsiTheme="minorHAnsi"/>
          <w:b/>
          <w:spacing w:val="30"/>
          <w:szCs w:val="22"/>
          <w:lang w:val="en-GB"/>
        </w:rPr>
        <w:t>Palestine</w:t>
      </w:r>
      <w:r w:rsidR="00A83DEA" w:rsidRPr="00965721">
        <w:rPr>
          <w:rFonts w:asciiTheme="minorHAnsi" w:hAnsiTheme="minorHAnsi"/>
          <w:b/>
          <w:spacing w:val="30"/>
          <w:szCs w:val="22"/>
        </w:rPr>
        <w:t>, 2014</w:t>
      </w:r>
    </w:p>
    <w:p w:rsidR="00BD712A" w:rsidRPr="00674345" w:rsidRDefault="00BD712A" w:rsidP="00015176">
      <w:pPr>
        <w:spacing w:line="264" w:lineRule="auto"/>
        <w:rPr>
          <w:rFonts w:asciiTheme="minorHAnsi" w:hAnsiTheme="minorHAnsi"/>
          <w:b/>
          <w:spacing w:val="30"/>
          <w:sz w:val="28"/>
          <w:szCs w:val="28"/>
        </w:rPr>
      </w:pPr>
    </w:p>
    <w:p w:rsidR="00BD712A" w:rsidRDefault="00755671" w:rsidP="00015176">
      <w:pPr>
        <w:spacing w:line="264" w:lineRule="auto"/>
        <w:rPr>
          <w:rFonts w:asciiTheme="minorHAnsi" w:hAnsiTheme="minorHAnsi"/>
        </w:rPr>
      </w:pPr>
      <w:r w:rsidRPr="00755671">
        <w:rPr>
          <w:rFonts w:asciiTheme="minorHAnsi" w:hAnsiTheme="minorHAnsi"/>
          <w:noProof/>
        </w:rPr>
        <w:drawing>
          <wp:inline distT="0" distB="0" distL="0" distR="0">
            <wp:extent cx="5486400" cy="3171825"/>
            <wp:effectExtent l="0" t="0" r="0" b="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D712A" w:rsidRDefault="00BD712A" w:rsidP="00015176">
      <w:pPr>
        <w:spacing w:line="264" w:lineRule="auto"/>
        <w:rPr>
          <w:rFonts w:asciiTheme="minorHAnsi" w:hAnsiTheme="minorHAnsi" w:cstheme="minorHAnsi"/>
          <w:szCs w:val="24"/>
        </w:rPr>
      </w:pPr>
    </w:p>
    <w:p w:rsidR="001C0A0B" w:rsidRDefault="001C0A0B" w:rsidP="00781491">
      <w:pPr>
        <w:autoSpaceDE w:val="0"/>
        <w:autoSpaceDN w:val="0"/>
        <w:adjustRightInd w:val="0"/>
        <w:jc w:val="both"/>
        <w:rPr>
          <w:rFonts w:asciiTheme="minorHAnsi" w:hAnsiTheme="minorHAnsi" w:cstheme="minorHAnsi"/>
          <w:szCs w:val="24"/>
        </w:rPr>
      </w:pPr>
      <w:r>
        <w:rPr>
          <w:rFonts w:ascii="Calibri" w:hAnsi="Calibri"/>
          <w:szCs w:val="22"/>
        </w:rPr>
        <w:t xml:space="preserve">Tables CM.2 and CM.3 provide estimates of child mortality by socioeconomic and demographic characteristics. </w:t>
      </w:r>
      <w:r>
        <w:rPr>
          <w:rFonts w:ascii="Calibri" w:eastAsia="Calibri" w:hAnsi="Calibri" w:cs="Calibri"/>
          <w:szCs w:val="22"/>
        </w:rPr>
        <w:t>Differences were noted when comparing the mortality estimates of male and females, with infant mortality rate of 19 per 1000 live births (neonatal rate 12 per 1000 live births, post-neonatal 8 per 1000 live births) for males;</w:t>
      </w:r>
      <w:r w:rsidR="00DE1225">
        <w:rPr>
          <w:rFonts w:ascii="Calibri" w:eastAsia="Calibri" w:hAnsi="Calibri" w:cs="Calibri"/>
          <w:szCs w:val="22"/>
        </w:rPr>
        <w:t xml:space="preserve"> and </w:t>
      </w:r>
      <w:r>
        <w:rPr>
          <w:rFonts w:ascii="Calibri" w:eastAsia="Calibri" w:hAnsi="Calibri" w:cs="Calibri"/>
          <w:szCs w:val="22"/>
        </w:rPr>
        <w:t xml:space="preserve"> </w:t>
      </w:r>
      <w:r w:rsidR="007F7869">
        <w:rPr>
          <w:rFonts w:ascii="Calibri" w:eastAsia="Calibri" w:hAnsi="Calibri" w:cs="Calibri"/>
          <w:szCs w:val="22"/>
        </w:rPr>
        <w:t xml:space="preserve">17 per 1000 live births (neonatal 11 per 1000 live births, post-neonatal 7 per 1000 live births) </w:t>
      </w:r>
      <w:r>
        <w:rPr>
          <w:rFonts w:ascii="Calibri" w:eastAsia="Calibri" w:hAnsi="Calibri" w:cs="Calibri"/>
          <w:szCs w:val="22"/>
        </w:rPr>
        <w:t>among females</w:t>
      </w:r>
      <w:r w:rsidR="00781491">
        <w:rPr>
          <w:rFonts w:ascii="Calibri" w:eastAsia="Calibri" w:hAnsi="Calibri" w:cs="Calibri"/>
          <w:szCs w:val="22"/>
        </w:rPr>
        <w:t>.</w:t>
      </w:r>
      <w:r>
        <w:rPr>
          <w:rFonts w:ascii="Calibri" w:eastAsia="Calibri" w:hAnsi="Calibri" w:cs="Calibri"/>
          <w:szCs w:val="22"/>
        </w:rPr>
        <w:t xml:space="preserve"> Difference in the infant mortality rate were also noted according to area where these were 19 per 1000 live births in urban areas , about 18 per 1000 live births in the rural areas and 12 per 1000 live births in the camps . </w:t>
      </w:r>
      <w:r w:rsidR="00781491">
        <w:rPr>
          <w:rFonts w:ascii="Calibri" w:eastAsia="Calibri" w:hAnsi="Calibri" w:cs="Calibri"/>
          <w:szCs w:val="22"/>
        </w:rPr>
        <w:t>Similarly</w:t>
      </w:r>
      <w:r w:rsidR="00E413E0">
        <w:rPr>
          <w:rFonts w:ascii="Calibri" w:eastAsia="Calibri" w:hAnsi="Calibri" w:cs="Calibri"/>
          <w:szCs w:val="22"/>
        </w:rPr>
        <w:t>,</w:t>
      </w:r>
      <w:r w:rsidR="00781491">
        <w:rPr>
          <w:rFonts w:ascii="Calibri" w:eastAsia="Calibri" w:hAnsi="Calibri" w:cs="Calibri"/>
          <w:szCs w:val="22"/>
        </w:rPr>
        <w:t xml:space="preserve"> d</w:t>
      </w:r>
      <w:r>
        <w:rPr>
          <w:rFonts w:ascii="Calibri" w:eastAsia="Calibri" w:hAnsi="Calibri" w:cs="Calibri"/>
          <w:szCs w:val="22"/>
        </w:rPr>
        <w:t xml:space="preserve">ifferences were noted in the </w:t>
      </w:r>
      <w:proofErr w:type="gramStart"/>
      <w:r w:rsidR="0063594F">
        <w:rPr>
          <w:rFonts w:ascii="Calibri" w:eastAsia="Calibri" w:hAnsi="Calibri" w:cs="Calibri"/>
          <w:szCs w:val="22"/>
        </w:rPr>
        <w:t>u</w:t>
      </w:r>
      <w:r>
        <w:rPr>
          <w:rFonts w:ascii="Calibri" w:eastAsia="Calibri" w:hAnsi="Calibri" w:cs="Calibri"/>
          <w:szCs w:val="22"/>
        </w:rPr>
        <w:t>nder</w:t>
      </w:r>
      <w:proofErr w:type="gramEnd"/>
      <w:r>
        <w:rPr>
          <w:rFonts w:ascii="Calibri" w:eastAsia="Calibri" w:hAnsi="Calibri" w:cs="Calibri"/>
          <w:szCs w:val="22"/>
        </w:rPr>
        <w:t xml:space="preserve"> 5 mortality rates of children among males and females which are 23 per 1000 live birth</w:t>
      </w:r>
      <w:r w:rsidR="00781491">
        <w:rPr>
          <w:rFonts w:ascii="Calibri" w:eastAsia="Calibri" w:hAnsi="Calibri" w:cs="Calibri"/>
          <w:szCs w:val="22"/>
        </w:rPr>
        <w:t>s</w:t>
      </w:r>
      <w:r>
        <w:rPr>
          <w:rFonts w:ascii="Calibri" w:eastAsia="Calibri" w:hAnsi="Calibri" w:cs="Calibri"/>
          <w:szCs w:val="22"/>
        </w:rPr>
        <w:t xml:space="preserve"> compared to 21 per 1000 live </w:t>
      </w:r>
      <w:r w:rsidR="00B0711A">
        <w:rPr>
          <w:rFonts w:ascii="Calibri" w:eastAsia="Calibri" w:hAnsi="Calibri" w:cs="Calibri"/>
          <w:szCs w:val="22"/>
        </w:rPr>
        <w:t>birth</w:t>
      </w:r>
      <w:r w:rsidR="00781491">
        <w:rPr>
          <w:rFonts w:ascii="Calibri" w:eastAsia="Calibri" w:hAnsi="Calibri" w:cs="Calibri"/>
          <w:szCs w:val="22"/>
        </w:rPr>
        <w:t>s</w:t>
      </w:r>
      <w:r w:rsidR="00B0711A">
        <w:rPr>
          <w:rFonts w:ascii="Calibri" w:eastAsia="Calibri" w:hAnsi="Calibri" w:cs="Calibri"/>
          <w:szCs w:val="22"/>
        </w:rPr>
        <w:t xml:space="preserve"> </w:t>
      </w:r>
      <w:r>
        <w:rPr>
          <w:rFonts w:ascii="Calibri" w:eastAsia="Calibri" w:hAnsi="Calibri" w:cs="Calibri"/>
          <w:szCs w:val="22"/>
        </w:rPr>
        <w:t>respectively.</w:t>
      </w:r>
    </w:p>
    <w:p w:rsidR="001C0A0B" w:rsidRDefault="001C0A0B" w:rsidP="00015176">
      <w:pPr>
        <w:spacing w:line="264" w:lineRule="auto"/>
        <w:rPr>
          <w:rFonts w:asciiTheme="minorHAnsi" w:hAnsiTheme="minorHAnsi" w:cstheme="minorHAnsi"/>
          <w:szCs w:val="24"/>
        </w:rPr>
      </w:pPr>
    </w:p>
    <w:p w:rsidR="00BE52C3" w:rsidRDefault="00BE52C3" w:rsidP="00015176">
      <w:pPr>
        <w:spacing w:line="264" w:lineRule="auto"/>
        <w:rPr>
          <w:rFonts w:asciiTheme="minorHAnsi" w:hAnsiTheme="minorHAnsi" w:cstheme="minorHAnsi"/>
          <w:szCs w:val="24"/>
        </w:rPr>
      </w:pPr>
    </w:p>
    <w:tbl>
      <w:tblPr>
        <w:tblW w:w="5000" w:type="pct"/>
        <w:tblCellMar>
          <w:left w:w="0" w:type="dxa"/>
          <w:right w:w="0" w:type="dxa"/>
        </w:tblCellMar>
        <w:tblLook w:val="04A0"/>
      </w:tblPr>
      <w:tblGrid>
        <w:gridCol w:w="1931"/>
        <w:gridCol w:w="1453"/>
        <w:gridCol w:w="1511"/>
        <w:gridCol w:w="1335"/>
        <w:gridCol w:w="1237"/>
        <w:gridCol w:w="1590"/>
      </w:tblGrid>
      <w:tr w:rsidR="00CE10F2" w:rsidRPr="008050F7" w:rsidTr="00E95428">
        <w:trPr>
          <w:trHeight w:val="284"/>
        </w:trPr>
        <w:tc>
          <w:tcPr>
            <w:tcW w:w="9390" w:type="dxa"/>
            <w:gridSpan w:val="6"/>
            <w:tcBorders>
              <w:top w:val="single" w:sz="4" w:space="0" w:color="auto"/>
              <w:left w:val="single" w:sz="4" w:space="0" w:color="auto"/>
              <w:bottom w:val="single" w:sz="4" w:space="0" w:color="auto"/>
              <w:right w:val="single" w:sz="4" w:space="0" w:color="000000"/>
            </w:tcBorders>
            <w:shd w:val="clear" w:color="000000" w:fill="000000"/>
            <w:noWrap/>
            <w:tcMar>
              <w:top w:w="15" w:type="dxa"/>
              <w:left w:w="15" w:type="dxa"/>
              <w:bottom w:w="0" w:type="dxa"/>
              <w:right w:w="15" w:type="dxa"/>
            </w:tcMar>
            <w:vAlign w:val="center"/>
            <w:hideMark/>
          </w:tcPr>
          <w:p w:rsidR="00CE10F2" w:rsidRPr="008050F7" w:rsidRDefault="00CE10F2" w:rsidP="00E95428">
            <w:pPr>
              <w:rPr>
                <w:rFonts w:asciiTheme="minorHAnsi" w:hAnsiTheme="minorHAnsi" w:cs="Arial"/>
                <w:b/>
                <w:bCs/>
                <w:color w:val="FFFFFF"/>
                <w:sz w:val="20"/>
              </w:rPr>
            </w:pPr>
            <w:bookmarkStart w:id="1" w:name="RANGE!A1"/>
            <w:r w:rsidRPr="008050F7">
              <w:rPr>
                <w:rFonts w:asciiTheme="minorHAnsi" w:hAnsiTheme="minorHAnsi" w:cs="Arial"/>
                <w:b/>
                <w:bCs/>
                <w:color w:val="FFFFFF"/>
                <w:sz w:val="20"/>
              </w:rPr>
              <w:lastRenderedPageBreak/>
              <w:t>Table CM.2: Early childhood mortality rates by socioeconomic characteristics</w:t>
            </w:r>
            <w:bookmarkEnd w:id="1"/>
          </w:p>
        </w:tc>
      </w:tr>
      <w:tr w:rsidR="00CE10F2" w:rsidRPr="008050F7" w:rsidTr="00E95428">
        <w:trPr>
          <w:trHeight w:val="284"/>
        </w:trPr>
        <w:tc>
          <w:tcPr>
            <w:tcW w:w="9390" w:type="dxa"/>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E10F2" w:rsidRPr="008050F7" w:rsidRDefault="00CE10F2" w:rsidP="00E95428">
            <w:pPr>
              <w:rPr>
                <w:rFonts w:asciiTheme="minorHAnsi" w:hAnsiTheme="minorHAnsi" w:cs="Arial"/>
                <w:sz w:val="20"/>
              </w:rPr>
            </w:pPr>
            <w:r w:rsidRPr="008050F7">
              <w:rPr>
                <w:rFonts w:asciiTheme="minorHAnsi" w:hAnsiTheme="minorHAnsi" w:cs="Arial"/>
                <w:sz w:val="20"/>
              </w:rPr>
              <w:t>Neonatal, post-neonatal, Infant, child and</w:t>
            </w:r>
            <w:r w:rsidR="00A00755" w:rsidRPr="008050F7">
              <w:rPr>
                <w:rFonts w:asciiTheme="minorHAnsi" w:hAnsiTheme="minorHAnsi" w:cs="Arial"/>
                <w:sz w:val="20"/>
              </w:rPr>
              <w:t xml:space="preserve"> under-five mortality rates for </w:t>
            </w:r>
            <w:r w:rsidRPr="008050F7">
              <w:rPr>
                <w:rFonts w:asciiTheme="minorHAnsi" w:hAnsiTheme="minorHAnsi" w:cs="Arial"/>
                <w:sz w:val="20"/>
              </w:rPr>
              <w:t xml:space="preserve">the five year period preceding the survey, by socioeconomic characteristics, </w:t>
            </w:r>
            <w:r w:rsidR="00500B3C" w:rsidRPr="008050F7">
              <w:rPr>
                <w:rFonts w:asciiTheme="minorHAnsi" w:hAnsiTheme="minorHAnsi" w:cs="Arial"/>
                <w:sz w:val="20"/>
              </w:rPr>
              <w:t>Palestine, 2014</w:t>
            </w:r>
          </w:p>
        </w:tc>
      </w:tr>
      <w:tr w:rsidR="00CE10F2" w:rsidTr="00E95428">
        <w:trPr>
          <w:trHeight w:val="284"/>
        </w:trPr>
        <w:tc>
          <w:tcPr>
            <w:tcW w:w="199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E10F2" w:rsidRDefault="00CE10F2" w:rsidP="00E95428">
            <w:pPr>
              <w:rPr>
                <w:rFonts w:ascii="Arial" w:hAnsi="Arial" w:cs="Arial"/>
                <w:b/>
                <w:bCs/>
                <w:sz w:val="16"/>
                <w:szCs w:val="16"/>
              </w:rPr>
            </w:pPr>
            <w:r>
              <w:rPr>
                <w:rFonts w:ascii="Arial" w:hAnsi="Arial" w:cs="Arial"/>
                <w:b/>
                <w:bCs/>
                <w:sz w:val="16"/>
                <w:szCs w:val="16"/>
              </w:rPr>
              <w:t> </w:t>
            </w:r>
          </w:p>
        </w:tc>
        <w:tc>
          <w:tcPr>
            <w:tcW w:w="1507"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center"/>
            <w:hideMark/>
          </w:tcPr>
          <w:p w:rsidR="00CE10F2" w:rsidRDefault="00CE10F2" w:rsidP="00E95428">
            <w:pPr>
              <w:jc w:val="center"/>
              <w:rPr>
                <w:rFonts w:ascii="Arial" w:hAnsi="Arial" w:cs="Arial"/>
                <w:sz w:val="16"/>
                <w:szCs w:val="16"/>
              </w:rPr>
            </w:pPr>
            <w:r>
              <w:rPr>
                <w:rFonts w:ascii="Arial" w:hAnsi="Arial" w:cs="Arial"/>
                <w:sz w:val="16"/>
                <w:szCs w:val="16"/>
              </w:rPr>
              <w:t>Neonatal mortality rate</w:t>
            </w:r>
            <w:r>
              <w:rPr>
                <w:rFonts w:ascii="Arial" w:hAnsi="Arial" w:cs="Arial"/>
                <w:sz w:val="16"/>
                <w:szCs w:val="16"/>
                <w:vertAlign w:val="superscript"/>
              </w:rPr>
              <w:t>1</w:t>
            </w:r>
          </w:p>
        </w:tc>
        <w:tc>
          <w:tcPr>
            <w:tcW w:w="156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CE10F2" w:rsidRDefault="00CE10F2" w:rsidP="00E95428">
            <w:pPr>
              <w:jc w:val="center"/>
              <w:rPr>
                <w:rFonts w:ascii="Arial" w:hAnsi="Arial" w:cs="Arial"/>
                <w:sz w:val="16"/>
                <w:szCs w:val="16"/>
              </w:rPr>
            </w:pPr>
            <w:r>
              <w:rPr>
                <w:rFonts w:ascii="Arial" w:hAnsi="Arial" w:cs="Arial"/>
                <w:sz w:val="16"/>
                <w:szCs w:val="16"/>
              </w:rPr>
              <w:t>Post-neonatal mortality rate</w:t>
            </w:r>
            <w:r>
              <w:rPr>
                <w:rFonts w:ascii="Arial" w:hAnsi="Arial" w:cs="Arial"/>
                <w:sz w:val="16"/>
                <w:szCs w:val="16"/>
                <w:vertAlign w:val="superscript"/>
              </w:rPr>
              <w:t>2, a</w:t>
            </w:r>
          </w:p>
        </w:tc>
        <w:tc>
          <w:tcPr>
            <w:tcW w:w="1385"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CE10F2" w:rsidRDefault="00CE10F2" w:rsidP="00E95428">
            <w:pPr>
              <w:jc w:val="center"/>
              <w:rPr>
                <w:rFonts w:ascii="Arial" w:hAnsi="Arial" w:cs="Arial"/>
                <w:sz w:val="16"/>
                <w:szCs w:val="16"/>
              </w:rPr>
            </w:pPr>
            <w:r>
              <w:rPr>
                <w:rFonts w:ascii="Arial" w:hAnsi="Arial" w:cs="Arial"/>
                <w:sz w:val="16"/>
                <w:szCs w:val="16"/>
              </w:rPr>
              <w:t>Infant mortality rate</w:t>
            </w:r>
            <w:r>
              <w:rPr>
                <w:rFonts w:ascii="Arial" w:hAnsi="Arial" w:cs="Arial"/>
                <w:sz w:val="16"/>
                <w:szCs w:val="16"/>
                <w:vertAlign w:val="superscript"/>
              </w:rPr>
              <w:t>3</w:t>
            </w:r>
          </w:p>
        </w:tc>
        <w:tc>
          <w:tcPr>
            <w:tcW w:w="1283"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CE10F2" w:rsidRDefault="00CE10F2" w:rsidP="00E95428">
            <w:pPr>
              <w:jc w:val="center"/>
              <w:rPr>
                <w:rFonts w:ascii="Arial" w:hAnsi="Arial" w:cs="Arial"/>
                <w:sz w:val="16"/>
                <w:szCs w:val="16"/>
              </w:rPr>
            </w:pPr>
            <w:r>
              <w:rPr>
                <w:rFonts w:ascii="Arial" w:hAnsi="Arial" w:cs="Arial"/>
                <w:sz w:val="16"/>
                <w:szCs w:val="16"/>
              </w:rPr>
              <w:t>Child mortality rate</w:t>
            </w:r>
            <w:r>
              <w:rPr>
                <w:rFonts w:ascii="Arial" w:hAnsi="Arial" w:cs="Arial"/>
                <w:sz w:val="16"/>
                <w:szCs w:val="16"/>
                <w:vertAlign w:val="superscript"/>
              </w:rPr>
              <w:t>4</w:t>
            </w:r>
          </w:p>
        </w:tc>
        <w:tc>
          <w:tcPr>
            <w:tcW w:w="16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E10F2" w:rsidRDefault="00CE10F2" w:rsidP="00E95428">
            <w:pPr>
              <w:jc w:val="center"/>
              <w:rPr>
                <w:rFonts w:ascii="Arial" w:hAnsi="Arial" w:cs="Arial"/>
                <w:sz w:val="16"/>
                <w:szCs w:val="16"/>
              </w:rPr>
            </w:pPr>
            <w:r>
              <w:rPr>
                <w:rFonts w:ascii="Arial" w:hAnsi="Arial" w:cs="Arial"/>
                <w:sz w:val="16"/>
                <w:szCs w:val="16"/>
              </w:rPr>
              <w:t>Under-five mortality rate</w:t>
            </w:r>
            <w:r>
              <w:rPr>
                <w:rFonts w:ascii="Arial" w:hAnsi="Arial" w:cs="Arial"/>
                <w:sz w:val="16"/>
                <w:szCs w:val="16"/>
                <w:vertAlign w:val="superscript"/>
              </w:rPr>
              <w:t>5</w:t>
            </w:r>
          </w:p>
        </w:tc>
      </w:tr>
      <w:tr w:rsidR="00CE10F2" w:rsidTr="00E95428">
        <w:trPr>
          <w:trHeight w:val="284"/>
        </w:trPr>
        <w:tc>
          <w:tcPr>
            <w:tcW w:w="1997"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CE10F2" w:rsidRDefault="00CE10F2" w:rsidP="005F239E">
            <w:pPr>
              <w:ind w:left="119"/>
              <w:rPr>
                <w:rFonts w:ascii="Arial" w:hAnsi="Arial" w:cs="Arial"/>
                <w:b/>
                <w:bCs/>
                <w:sz w:val="16"/>
                <w:szCs w:val="16"/>
              </w:rPr>
            </w:pPr>
            <w:r>
              <w:rPr>
                <w:rFonts w:ascii="Arial" w:hAnsi="Arial" w:cs="Arial"/>
                <w:b/>
                <w:bCs/>
                <w:sz w:val="16"/>
                <w:szCs w:val="16"/>
              </w:rPr>
              <w:t> </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CE10F2" w:rsidRPr="007B5A6F" w:rsidRDefault="00CE10F2" w:rsidP="00E95428">
            <w:pPr>
              <w:ind w:right="149"/>
              <w:jc w:val="right"/>
              <w:rPr>
                <w:rFonts w:asciiTheme="minorBidi" w:hAnsiTheme="minorBidi" w:cstheme="minorBidi"/>
                <w:color w:val="000000"/>
                <w:sz w:val="16"/>
                <w:szCs w:val="16"/>
              </w:rPr>
            </w:pP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E95428">
            <w:pPr>
              <w:ind w:right="149"/>
              <w:jc w:val="right"/>
              <w:rPr>
                <w:rFonts w:asciiTheme="minorBidi" w:hAnsiTheme="minorBidi" w:cstheme="minorBidi"/>
                <w:color w:val="000000"/>
                <w:sz w:val="16"/>
                <w:szCs w:val="16"/>
              </w:rPr>
            </w:pP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E95428">
            <w:pPr>
              <w:ind w:right="149"/>
              <w:jc w:val="right"/>
              <w:rPr>
                <w:rFonts w:asciiTheme="minorBidi" w:hAnsiTheme="minorBidi" w:cstheme="minorBidi"/>
                <w:color w:val="000000"/>
                <w:sz w:val="16"/>
                <w:szCs w:val="16"/>
              </w:rPr>
            </w:pP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E95428">
            <w:pPr>
              <w:ind w:right="149"/>
              <w:jc w:val="right"/>
              <w:rPr>
                <w:rFonts w:asciiTheme="minorBidi" w:hAnsiTheme="minorBidi" w:cstheme="minorBidi"/>
                <w:color w:val="000000"/>
                <w:sz w:val="16"/>
                <w:szCs w:val="16"/>
              </w:rPr>
            </w:pP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E10F2" w:rsidRPr="007B5A6F" w:rsidRDefault="00CE10F2" w:rsidP="00E95428">
            <w:pPr>
              <w:ind w:right="149"/>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 </w:t>
            </w:r>
          </w:p>
        </w:tc>
      </w:tr>
      <w:tr w:rsidR="00FF5F7A" w:rsidRPr="00E95428" w:rsidTr="00E95428">
        <w:trPr>
          <w:trHeight w:val="284"/>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FF5F7A" w:rsidRPr="00E95428" w:rsidRDefault="00FF5F7A" w:rsidP="005F239E">
            <w:pPr>
              <w:ind w:left="119"/>
              <w:rPr>
                <w:rFonts w:ascii="Arial" w:hAnsi="Arial" w:cs="Arial"/>
                <w:b/>
                <w:bCs/>
                <w:sz w:val="16"/>
                <w:szCs w:val="16"/>
              </w:rPr>
            </w:pPr>
            <w:r w:rsidRPr="00E95428">
              <w:rPr>
                <w:rFonts w:ascii="Arial" w:hAnsi="Arial" w:cs="Arial"/>
                <w:b/>
                <w:bCs/>
                <w:sz w:val="16"/>
                <w:szCs w:val="16"/>
              </w:rPr>
              <w:t>Total</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FF5F7A" w:rsidRPr="00E95428" w:rsidRDefault="00FF5F7A" w:rsidP="005F239E">
            <w:pPr>
              <w:ind w:right="72"/>
              <w:jc w:val="right"/>
              <w:rPr>
                <w:rFonts w:ascii="Arial" w:hAnsi="Arial" w:cs="Arial"/>
                <w:sz w:val="16"/>
                <w:szCs w:val="16"/>
              </w:rPr>
            </w:pPr>
            <w:r w:rsidRPr="00E95428">
              <w:rPr>
                <w:rFonts w:ascii="Arial" w:hAnsi="Arial" w:cs="Arial"/>
                <w:sz w:val="16"/>
                <w:szCs w:val="16"/>
              </w:rPr>
              <w:t>11.2</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FF5F7A" w:rsidRPr="00E95428" w:rsidRDefault="00FF5F7A" w:rsidP="005F239E">
            <w:pPr>
              <w:ind w:right="72"/>
              <w:jc w:val="right"/>
              <w:rPr>
                <w:rFonts w:ascii="Arial" w:hAnsi="Arial" w:cs="Arial"/>
                <w:sz w:val="16"/>
                <w:szCs w:val="16"/>
              </w:rPr>
            </w:pPr>
            <w:r w:rsidRPr="00E95428">
              <w:rPr>
                <w:rFonts w:ascii="Arial" w:hAnsi="Arial" w:cs="Arial"/>
                <w:sz w:val="16"/>
                <w:szCs w:val="16"/>
              </w:rPr>
              <w:t>7.1</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FF5F7A" w:rsidRPr="00E95428" w:rsidRDefault="00FF5F7A" w:rsidP="005F239E">
            <w:pPr>
              <w:ind w:right="72"/>
              <w:jc w:val="right"/>
              <w:rPr>
                <w:rFonts w:ascii="Arial" w:hAnsi="Arial" w:cs="Arial"/>
                <w:sz w:val="16"/>
                <w:szCs w:val="16"/>
              </w:rPr>
            </w:pPr>
            <w:r w:rsidRPr="00E95428">
              <w:rPr>
                <w:rFonts w:ascii="Arial" w:hAnsi="Arial" w:cs="Arial"/>
                <w:sz w:val="16"/>
                <w:szCs w:val="16"/>
              </w:rPr>
              <w:t>18.2</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FF5F7A" w:rsidRPr="00E95428" w:rsidRDefault="00FF5F7A" w:rsidP="005F239E">
            <w:pPr>
              <w:ind w:right="72"/>
              <w:jc w:val="right"/>
              <w:rPr>
                <w:rFonts w:ascii="Arial" w:hAnsi="Arial" w:cs="Arial"/>
                <w:sz w:val="16"/>
                <w:szCs w:val="16"/>
              </w:rPr>
            </w:pPr>
            <w:r w:rsidRPr="00E95428">
              <w:rPr>
                <w:rFonts w:ascii="Arial" w:hAnsi="Arial" w:cs="Arial"/>
                <w:sz w:val="16"/>
                <w:szCs w:val="16"/>
              </w:rPr>
              <w:t>3.6</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FF5F7A" w:rsidRPr="00E95428" w:rsidRDefault="00FF5F7A" w:rsidP="005F239E">
            <w:pPr>
              <w:ind w:right="72"/>
              <w:jc w:val="right"/>
              <w:rPr>
                <w:rFonts w:ascii="Arial" w:hAnsi="Arial" w:cs="Arial"/>
                <w:sz w:val="16"/>
                <w:szCs w:val="16"/>
              </w:rPr>
            </w:pPr>
            <w:r w:rsidRPr="00E95428">
              <w:rPr>
                <w:rFonts w:ascii="Arial" w:hAnsi="Arial" w:cs="Arial"/>
                <w:sz w:val="16"/>
                <w:szCs w:val="16"/>
              </w:rPr>
              <w:t>21.7</w:t>
            </w:r>
          </w:p>
        </w:tc>
      </w:tr>
      <w:tr w:rsidR="00CE10F2" w:rsidTr="00E95428">
        <w:trPr>
          <w:trHeight w:val="284"/>
        </w:trPr>
        <w:tc>
          <w:tcPr>
            <w:tcW w:w="1997"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CE10F2" w:rsidRDefault="00CE10F2" w:rsidP="005F239E">
            <w:pPr>
              <w:ind w:left="119"/>
              <w:rPr>
                <w:rFonts w:ascii="Arial" w:hAnsi="Arial" w:cs="Arial"/>
                <w:b/>
                <w:bCs/>
                <w:sz w:val="16"/>
                <w:szCs w:val="16"/>
              </w:rPr>
            </w:pPr>
            <w:r>
              <w:rPr>
                <w:rFonts w:ascii="Arial" w:hAnsi="Arial" w:cs="Arial"/>
                <w:b/>
                <w:bCs/>
                <w:sz w:val="16"/>
                <w:szCs w:val="16"/>
              </w:rPr>
              <w:t> </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 </w:t>
            </w:r>
          </w:p>
        </w:tc>
      </w:tr>
      <w:tr w:rsidR="00CE10F2" w:rsidTr="00E95428">
        <w:trPr>
          <w:trHeight w:val="284"/>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CE10F2" w:rsidRDefault="00CE10F2" w:rsidP="005F239E">
            <w:pPr>
              <w:ind w:left="119"/>
              <w:rPr>
                <w:rFonts w:ascii="Arial" w:hAnsi="Arial" w:cs="Arial"/>
                <w:b/>
                <w:bCs/>
                <w:sz w:val="16"/>
                <w:szCs w:val="16"/>
              </w:rPr>
            </w:pPr>
            <w:r>
              <w:rPr>
                <w:rFonts w:ascii="Arial" w:hAnsi="Arial" w:cs="Arial"/>
                <w:b/>
                <w:bCs/>
                <w:sz w:val="16"/>
                <w:szCs w:val="16"/>
              </w:rPr>
              <w:t>Region</w:t>
            </w:r>
          </w:p>
        </w:tc>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E10F2" w:rsidRPr="007B5A6F" w:rsidRDefault="00CE10F2"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 </w:t>
            </w:r>
          </w:p>
        </w:tc>
      </w:tr>
      <w:tr w:rsidR="007B5A6F" w:rsidTr="00E95428">
        <w:trPr>
          <w:trHeight w:val="284"/>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B5A6F" w:rsidRPr="00500B3C" w:rsidRDefault="007B5A6F" w:rsidP="005F239E">
            <w:pPr>
              <w:ind w:left="119"/>
              <w:rPr>
                <w:rFonts w:ascii="Arial" w:hAnsi="Arial" w:cs="Arial"/>
                <w:sz w:val="16"/>
                <w:szCs w:val="16"/>
              </w:rPr>
            </w:pPr>
            <w:r w:rsidRPr="00500B3C">
              <w:rPr>
                <w:rFonts w:ascii="Arial" w:hAnsi="Arial" w:cs="Arial"/>
                <w:sz w:val="16"/>
                <w:szCs w:val="16"/>
              </w:rPr>
              <w:t>West Bank</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10.9</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6.2</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17.1</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3.0</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20.0</w:t>
            </w:r>
          </w:p>
        </w:tc>
      </w:tr>
      <w:tr w:rsidR="007B5A6F" w:rsidTr="00E95428">
        <w:trPr>
          <w:trHeight w:val="284"/>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B5A6F" w:rsidRPr="00500B3C" w:rsidRDefault="007B5A6F" w:rsidP="005F239E">
            <w:pPr>
              <w:ind w:left="119"/>
              <w:rPr>
                <w:rFonts w:ascii="Arial" w:hAnsi="Arial" w:cs="Arial"/>
                <w:sz w:val="16"/>
                <w:szCs w:val="16"/>
              </w:rPr>
            </w:pPr>
            <w:r w:rsidRPr="00500B3C">
              <w:rPr>
                <w:rFonts w:ascii="Arial" w:hAnsi="Arial" w:cs="Arial"/>
                <w:sz w:val="16"/>
                <w:szCs w:val="16"/>
              </w:rPr>
              <w:t>Gaza Strip</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11.5</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8.1</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19.6</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4.2</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23.7</w:t>
            </w:r>
          </w:p>
        </w:tc>
      </w:tr>
      <w:tr w:rsidR="00CE10F2" w:rsidRPr="005F239E" w:rsidTr="00E95428">
        <w:trPr>
          <w:trHeight w:val="284"/>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CE10F2" w:rsidRDefault="00CE10F2" w:rsidP="005F239E">
            <w:pPr>
              <w:ind w:left="119"/>
              <w:rPr>
                <w:rFonts w:ascii="Arial" w:hAnsi="Arial" w:cs="Arial"/>
                <w:b/>
                <w:bCs/>
                <w:sz w:val="16"/>
                <w:szCs w:val="16"/>
              </w:rPr>
            </w:pPr>
            <w:r>
              <w:rPr>
                <w:rFonts w:ascii="Arial" w:hAnsi="Arial" w:cs="Arial"/>
                <w:b/>
                <w:bCs/>
                <w:sz w:val="16"/>
                <w:szCs w:val="16"/>
              </w:rPr>
              <w:t>Area</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r w:rsidRPr="005F239E">
              <w:rPr>
                <w:rFonts w:ascii="Arial" w:hAnsi="Arial" w:cs="Arial"/>
                <w:b/>
                <w:bCs/>
                <w:sz w:val="16"/>
                <w:szCs w:val="16"/>
              </w:rPr>
              <w:t> </w:t>
            </w:r>
          </w:p>
        </w:tc>
      </w:tr>
      <w:tr w:rsidR="007B5A6F" w:rsidTr="00E95428">
        <w:trPr>
          <w:trHeight w:val="284"/>
        </w:trPr>
        <w:tc>
          <w:tcPr>
            <w:tcW w:w="1997"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B5A6F" w:rsidRPr="00500B3C" w:rsidRDefault="007B5A6F" w:rsidP="005F239E">
            <w:pPr>
              <w:ind w:left="119"/>
              <w:rPr>
                <w:rFonts w:ascii="Arial" w:hAnsi="Arial" w:cs="Arial"/>
                <w:sz w:val="16"/>
                <w:szCs w:val="16"/>
              </w:rPr>
            </w:pPr>
            <w:r w:rsidRPr="00500B3C">
              <w:rPr>
                <w:rFonts w:ascii="Arial" w:hAnsi="Arial" w:cs="Arial"/>
                <w:sz w:val="16"/>
                <w:szCs w:val="16"/>
              </w:rPr>
              <w:t>Urban</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12.0</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7.0</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19.1</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3.2</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22.2</w:t>
            </w:r>
          </w:p>
        </w:tc>
      </w:tr>
      <w:tr w:rsidR="007B5A6F" w:rsidTr="00E95428">
        <w:trPr>
          <w:trHeight w:val="284"/>
        </w:trPr>
        <w:tc>
          <w:tcPr>
            <w:tcW w:w="1997"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B5A6F" w:rsidRPr="00500B3C" w:rsidRDefault="007B5A6F" w:rsidP="005F239E">
            <w:pPr>
              <w:ind w:left="119"/>
              <w:rPr>
                <w:rFonts w:ascii="Arial" w:hAnsi="Arial" w:cs="Arial"/>
                <w:sz w:val="16"/>
                <w:szCs w:val="16"/>
              </w:rPr>
            </w:pPr>
            <w:r w:rsidRPr="00500B3C">
              <w:rPr>
                <w:rFonts w:ascii="Arial" w:hAnsi="Arial" w:cs="Arial"/>
                <w:sz w:val="16"/>
                <w:szCs w:val="16"/>
              </w:rPr>
              <w:br w:type="page"/>
              <w:t>Rural</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8.0</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9.7</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17.7</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3.4</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21.0</w:t>
            </w:r>
          </w:p>
        </w:tc>
      </w:tr>
      <w:tr w:rsidR="007B5A6F" w:rsidTr="00E95428">
        <w:trPr>
          <w:trHeight w:val="284"/>
        </w:trPr>
        <w:tc>
          <w:tcPr>
            <w:tcW w:w="1997"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B5A6F" w:rsidRPr="00500B3C" w:rsidRDefault="007B5A6F" w:rsidP="005F239E">
            <w:pPr>
              <w:ind w:left="119"/>
              <w:rPr>
                <w:rFonts w:ascii="Arial" w:hAnsi="Arial" w:cs="Arial"/>
                <w:sz w:val="16"/>
                <w:szCs w:val="16"/>
              </w:rPr>
            </w:pPr>
            <w:r w:rsidRPr="00500B3C">
              <w:rPr>
                <w:rFonts w:ascii="Arial" w:hAnsi="Arial" w:cs="Arial"/>
                <w:sz w:val="16"/>
                <w:szCs w:val="16"/>
              </w:rPr>
              <w:t>Camps</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9.4</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2.7</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12.1</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6.9</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18.9</w:t>
            </w:r>
          </w:p>
        </w:tc>
      </w:tr>
      <w:tr w:rsidR="00CE10F2" w:rsidRPr="005F239E" w:rsidTr="00E95428">
        <w:trPr>
          <w:trHeight w:val="284"/>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CE10F2" w:rsidRDefault="00CE10F2" w:rsidP="005F239E">
            <w:pPr>
              <w:ind w:left="119"/>
              <w:rPr>
                <w:rFonts w:ascii="Arial" w:hAnsi="Arial" w:cs="Arial"/>
                <w:b/>
                <w:bCs/>
                <w:sz w:val="16"/>
                <w:szCs w:val="16"/>
              </w:rPr>
            </w:pPr>
            <w:r>
              <w:rPr>
                <w:rFonts w:ascii="Arial" w:hAnsi="Arial" w:cs="Arial"/>
                <w:b/>
                <w:bCs/>
                <w:sz w:val="16"/>
                <w:szCs w:val="16"/>
              </w:rPr>
              <w:t>Mother's education</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r w:rsidRPr="005F239E">
              <w:rPr>
                <w:rFonts w:ascii="Arial" w:hAnsi="Arial" w:cs="Arial"/>
                <w:b/>
                <w:bCs/>
                <w:sz w:val="16"/>
                <w:szCs w:val="16"/>
              </w:rPr>
              <w:t> </w:t>
            </w:r>
          </w:p>
        </w:tc>
      </w:tr>
      <w:tr w:rsidR="004D202F" w:rsidTr="004D202F">
        <w:trPr>
          <w:trHeight w:val="284"/>
        </w:trPr>
        <w:tc>
          <w:tcPr>
            <w:tcW w:w="1997"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4D202F" w:rsidRPr="00500B3C" w:rsidRDefault="004D202F" w:rsidP="005F239E">
            <w:pPr>
              <w:ind w:left="119"/>
              <w:rPr>
                <w:rFonts w:ascii="Arial" w:hAnsi="Arial" w:cs="Arial"/>
                <w:sz w:val="16"/>
                <w:szCs w:val="16"/>
              </w:rPr>
            </w:pPr>
            <w:r w:rsidRPr="00500B3C">
              <w:rPr>
                <w:rFonts w:ascii="Arial" w:hAnsi="Arial" w:cs="Arial"/>
                <w:sz w:val="16"/>
                <w:szCs w:val="16"/>
              </w:rPr>
              <w:t>None</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4D202F" w:rsidRPr="00781491" w:rsidRDefault="004D202F" w:rsidP="004D202F">
            <w:pPr>
              <w:ind w:right="72"/>
              <w:jc w:val="right"/>
            </w:pPr>
            <w:r w:rsidRPr="00781491">
              <w:rPr>
                <w:rFonts w:asciiTheme="minorBidi" w:hAnsiTheme="minorBidi" w:cstheme="minorBidi"/>
                <w:sz w:val="16"/>
                <w:szCs w:val="16"/>
              </w:rPr>
              <w:t>(*)</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4D202F" w:rsidRPr="00781491" w:rsidRDefault="004D202F" w:rsidP="004D202F">
            <w:pPr>
              <w:ind w:right="72"/>
              <w:jc w:val="right"/>
            </w:pPr>
            <w:r w:rsidRPr="00781491">
              <w:rPr>
                <w:rFonts w:asciiTheme="minorBidi" w:hAnsiTheme="minorBidi" w:cstheme="minorBidi"/>
                <w:sz w:val="16"/>
                <w:szCs w:val="16"/>
              </w:rPr>
              <w:t>(*)</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4D202F" w:rsidRPr="00781491" w:rsidRDefault="004D202F" w:rsidP="004D202F">
            <w:pPr>
              <w:ind w:right="72"/>
              <w:jc w:val="right"/>
            </w:pPr>
            <w:r w:rsidRPr="00781491">
              <w:rPr>
                <w:rFonts w:asciiTheme="minorBidi" w:hAnsiTheme="minorBidi" w:cstheme="minorBidi"/>
                <w:sz w:val="16"/>
                <w:szCs w:val="16"/>
              </w:rPr>
              <w:t>(*)</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4D202F" w:rsidRPr="00781491" w:rsidRDefault="004D202F" w:rsidP="004D202F">
            <w:pPr>
              <w:ind w:right="72"/>
              <w:jc w:val="right"/>
            </w:pPr>
            <w:r w:rsidRPr="00781491">
              <w:rPr>
                <w:rFonts w:asciiTheme="minorBidi" w:hAnsiTheme="minorBidi" w:cstheme="minorBidi"/>
                <w:sz w:val="16"/>
                <w:szCs w:val="16"/>
              </w:rPr>
              <w:t>(*)</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4D202F" w:rsidRPr="00781491" w:rsidRDefault="004D202F" w:rsidP="004D202F">
            <w:pPr>
              <w:ind w:right="72"/>
              <w:jc w:val="right"/>
            </w:pPr>
            <w:r w:rsidRPr="00781491">
              <w:rPr>
                <w:rFonts w:asciiTheme="minorBidi" w:hAnsiTheme="minorBidi" w:cstheme="minorBidi"/>
                <w:sz w:val="16"/>
                <w:szCs w:val="16"/>
              </w:rPr>
              <w:t>(*)</w:t>
            </w:r>
          </w:p>
        </w:tc>
      </w:tr>
      <w:tr w:rsidR="004D202F" w:rsidTr="004D202F">
        <w:trPr>
          <w:trHeight w:val="284"/>
        </w:trPr>
        <w:tc>
          <w:tcPr>
            <w:tcW w:w="1997"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4D202F" w:rsidRPr="00500B3C" w:rsidRDefault="00805749" w:rsidP="005F239E">
            <w:pPr>
              <w:ind w:left="119"/>
              <w:rPr>
                <w:rFonts w:ascii="Arial" w:hAnsi="Arial" w:cs="Arial"/>
                <w:sz w:val="16"/>
                <w:szCs w:val="16"/>
              </w:rPr>
            </w:pPr>
            <w:r>
              <w:rPr>
                <w:rFonts w:ascii="Arial" w:hAnsi="Arial" w:cs="Arial"/>
                <w:sz w:val="16"/>
                <w:szCs w:val="16"/>
              </w:rPr>
              <w:t>Basic</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4D202F" w:rsidRPr="005A36EC" w:rsidRDefault="0072310F" w:rsidP="00887444">
            <w:pPr>
              <w:ind w:right="72"/>
              <w:jc w:val="right"/>
            </w:pPr>
            <w:r w:rsidRPr="00781491">
              <w:rPr>
                <w:rFonts w:asciiTheme="minorBidi" w:hAnsiTheme="minorBidi" w:cstheme="minorBidi"/>
                <w:sz w:val="16"/>
                <w:szCs w:val="16"/>
              </w:rPr>
              <w:t>11.8</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4D202F" w:rsidRPr="00980053" w:rsidRDefault="0072310F" w:rsidP="00887444">
            <w:pPr>
              <w:ind w:right="72"/>
              <w:jc w:val="right"/>
            </w:pPr>
            <w:r w:rsidRPr="00781491">
              <w:rPr>
                <w:rFonts w:asciiTheme="minorBidi" w:hAnsiTheme="minorBidi" w:cstheme="minorBidi"/>
                <w:sz w:val="16"/>
                <w:szCs w:val="16"/>
              </w:rPr>
              <w:t>19.9</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4D202F" w:rsidRPr="0072310F" w:rsidRDefault="0072310F" w:rsidP="0072310F">
            <w:pPr>
              <w:ind w:right="72"/>
              <w:jc w:val="right"/>
            </w:pPr>
            <w:r w:rsidRPr="00781491">
              <w:rPr>
                <w:rFonts w:asciiTheme="minorBidi" w:hAnsiTheme="minorBidi" w:cstheme="minorBidi"/>
                <w:sz w:val="16"/>
                <w:szCs w:val="16"/>
              </w:rPr>
              <w:t>31.7</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4D202F" w:rsidRPr="00980053" w:rsidRDefault="0072310F" w:rsidP="00887444">
            <w:pPr>
              <w:ind w:right="72"/>
              <w:jc w:val="right"/>
            </w:pPr>
            <w:r w:rsidRPr="00781491">
              <w:rPr>
                <w:rFonts w:asciiTheme="minorBidi" w:hAnsiTheme="minorBidi" w:cstheme="minorBidi"/>
                <w:sz w:val="16"/>
                <w:szCs w:val="16"/>
              </w:rPr>
              <w:t>9.1</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4D202F" w:rsidRPr="00980053" w:rsidRDefault="003937C9" w:rsidP="00887444">
            <w:pPr>
              <w:ind w:right="72"/>
              <w:jc w:val="right"/>
            </w:pPr>
            <w:r w:rsidRPr="0072310F">
              <w:rPr>
                <w:rFonts w:asciiTheme="minorBidi" w:hAnsiTheme="minorBidi" w:cstheme="minorBidi"/>
                <w:sz w:val="16"/>
                <w:szCs w:val="16"/>
              </w:rPr>
              <w:t xml:space="preserve"> </w:t>
            </w:r>
            <w:r w:rsidRPr="00781491">
              <w:rPr>
                <w:rFonts w:asciiTheme="minorBidi" w:hAnsiTheme="minorBidi" w:cstheme="minorBidi"/>
                <w:sz w:val="16"/>
                <w:szCs w:val="16"/>
              </w:rPr>
              <w:t>40.5</w:t>
            </w:r>
          </w:p>
        </w:tc>
      </w:tr>
      <w:tr w:rsidR="007B5A6F" w:rsidTr="00E95428">
        <w:trPr>
          <w:trHeight w:val="284"/>
        </w:trPr>
        <w:tc>
          <w:tcPr>
            <w:tcW w:w="1997"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B5A6F" w:rsidRPr="00500B3C" w:rsidRDefault="007B5A6F" w:rsidP="005F239E">
            <w:pPr>
              <w:ind w:left="119"/>
              <w:rPr>
                <w:rFonts w:ascii="Arial" w:hAnsi="Arial" w:cs="Arial"/>
                <w:sz w:val="16"/>
                <w:szCs w:val="16"/>
              </w:rPr>
            </w:pPr>
            <w:r w:rsidRPr="00500B3C">
              <w:rPr>
                <w:rFonts w:ascii="Arial" w:hAnsi="Arial" w:cs="Arial"/>
                <w:sz w:val="16"/>
                <w:szCs w:val="16"/>
              </w:rPr>
              <w:t>Secondary</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14.7</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7.3</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22.0</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2.0</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24.0</w:t>
            </w:r>
          </w:p>
        </w:tc>
      </w:tr>
      <w:tr w:rsidR="007B5A6F" w:rsidTr="00E95428">
        <w:trPr>
          <w:trHeight w:val="284"/>
        </w:trPr>
        <w:tc>
          <w:tcPr>
            <w:tcW w:w="1997"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B5A6F" w:rsidRPr="00500B3C" w:rsidRDefault="007B5A6F" w:rsidP="005F239E">
            <w:pPr>
              <w:ind w:left="119"/>
              <w:rPr>
                <w:rFonts w:ascii="Arial" w:hAnsi="Arial" w:cs="Arial"/>
                <w:sz w:val="16"/>
                <w:szCs w:val="16"/>
              </w:rPr>
            </w:pPr>
            <w:r w:rsidRPr="00500B3C">
              <w:rPr>
                <w:rFonts w:ascii="Arial" w:hAnsi="Arial" w:cs="Arial"/>
                <w:sz w:val="16"/>
                <w:szCs w:val="16"/>
              </w:rPr>
              <w:t>Higher</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10.4</w:t>
            </w: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6.3</w:t>
            </w: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16.7</w:t>
            </w: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3.5</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B5A6F" w:rsidRPr="007B5A6F" w:rsidRDefault="007B5A6F" w:rsidP="005F239E">
            <w:pPr>
              <w:ind w:right="72"/>
              <w:jc w:val="right"/>
              <w:rPr>
                <w:rFonts w:asciiTheme="minorBidi" w:hAnsiTheme="minorBidi" w:cstheme="minorBidi"/>
                <w:color w:val="000000"/>
                <w:sz w:val="16"/>
                <w:szCs w:val="16"/>
              </w:rPr>
            </w:pPr>
            <w:r w:rsidRPr="007B5A6F">
              <w:rPr>
                <w:rFonts w:asciiTheme="minorBidi" w:hAnsiTheme="minorBidi" w:cstheme="minorBidi"/>
                <w:color w:val="000000"/>
                <w:sz w:val="16"/>
                <w:szCs w:val="16"/>
              </w:rPr>
              <w:t>20.1</w:t>
            </w:r>
          </w:p>
        </w:tc>
      </w:tr>
      <w:tr w:rsidR="00CE10F2" w:rsidRPr="005F239E" w:rsidTr="00E95428">
        <w:trPr>
          <w:trHeight w:val="284"/>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CE10F2" w:rsidRDefault="00CE10F2" w:rsidP="005F239E">
            <w:pPr>
              <w:ind w:left="119"/>
              <w:rPr>
                <w:rFonts w:ascii="Arial" w:hAnsi="Arial" w:cs="Arial"/>
                <w:b/>
                <w:bCs/>
                <w:sz w:val="16"/>
                <w:szCs w:val="16"/>
              </w:rPr>
            </w:pPr>
            <w:r>
              <w:rPr>
                <w:rFonts w:ascii="Arial" w:hAnsi="Arial" w:cs="Arial"/>
                <w:b/>
                <w:bCs/>
                <w:sz w:val="16"/>
                <w:szCs w:val="16"/>
              </w:rPr>
              <w:t>Wealth index quintile</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568"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385"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283" w:type="dxa"/>
            <w:tcBorders>
              <w:top w:val="nil"/>
              <w:left w:val="nil"/>
              <w:bottom w:val="nil"/>
              <w:right w:val="nil"/>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p>
        </w:tc>
        <w:tc>
          <w:tcPr>
            <w:tcW w:w="165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E10F2" w:rsidRPr="005F239E" w:rsidRDefault="00CE10F2" w:rsidP="005F239E">
            <w:pPr>
              <w:ind w:right="72"/>
              <w:rPr>
                <w:rFonts w:ascii="Arial" w:hAnsi="Arial" w:cs="Arial"/>
                <w:b/>
                <w:bCs/>
                <w:sz w:val="16"/>
                <w:szCs w:val="16"/>
              </w:rPr>
            </w:pPr>
            <w:r w:rsidRPr="005F239E">
              <w:rPr>
                <w:rFonts w:ascii="Arial" w:hAnsi="Arial" w:cs="Arial"/>
                <w:b/>
                <w:bCs/>
                <w:sz w:val="16"/>
                <w:szCs w:val="16"/>
              </w:rPr>
              <w:t> </w:t>
            </w:r>
          </w:p>
        </w:tc>
      </w:tr>
      <w:tr w:rsidR="002212DD" w:rsidTr="008155A4">
        <w:trPr>
          <w:trHeight w:val="284"/>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2212DD" w:rsidRDefault="002212DD" w:rsidP="005F239E">
            <w:pPr>
              <w:ind w:left="119"/>
              <w:rPr>
                <w:rFonts w:ascii="Arial" w:hAnsi="Arial" w:cs="Arial"/>
                <w:sz w:val="16"/>
                <w:szCs w:val="16"/>
              </w:rPr>
            </w:pPr>
            <w:r>
              <w:rPr>
                <w:rFonts w:ascii="Arial" w:hAnsi="Arial" w:cs="Arial"/>
                <w:sz w:val="16"/>
                <w:szCs w:val="16"/>
              </w:rPr>
              <w:t>Poorest</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7.2</w:t>
            </w:r>
          </w:p>
        </w:tc>
        <w:tc>
          <w:tcPr>
            <w:tcW w:w="1568"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10.3</w:t>
            </w:r>
          </w:p>
        </w:tc>
        <w:tc>
          <w:tcPr>
            <w:tcW w:w="1385"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17.5</w:t>
            </w:r>
          </w:p>
        </w:tc>
        <w:tc>
          <w:tcPr>
            <w:tcW w:w="1283"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3.6</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21.1</w:t>
            </w:r>
          </w:p>
        </w:tc>
      </w:tr>
      <w:tr w:rsidR="002212DD" w:rsidTr="00D25E4B">
        <w:trPr>
          <w:trHeight w:val="284"/>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2212DD" w:rsidRDefault="002212DD" w:rsidP="005F239E">
            <w:pPr>
              <w:ind w:left="119"/>
              <w:rPr>
                <w:rFonts w:ascii="Arial" w:hAnsi="Arial" w:cs="Arial"/>
                <w:sz w:val="16"/>
                <w:szCs w:val="16"/>
              </w:rPr>
            </w:pPr>
            <w:r>
              <w:rPr>
                <w:rFonts w:ascii="Arial" w:hAnsi="Arial" w:cs="Arial"/>
                <w:sz w:val="16"/>
                <w:szCs w:val="16"/>
              </w:rPr>
              <w:t>Second</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17.9</w:t>
            </w:r>
          </w:p>
        </w:tc>
        <w:tc>
          <w:tcPr>
            <w:tcW w:w="1568"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5.3</w:t>
            </w:r>
          </w:p>
        </w:tc>
        <w:tc>
          <w:tcPr>
            <w:tcW w:w="1385"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23.2</w:t>
            </w:r>
          </w:p>
        </w:tc>
        <w:tc>
          <w:tcPr>
            <w:tcW w:w="1283"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4.9</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28.0</w:t>
            </w:r>
          </w:p>
        </w:tc>
      </w:tr>
      <w:tr w:rsidR="002212DD" w:rsidTr="00B365DA">
        <w:trPr>
          <w:trHeight w:val="284"/>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2212DD" w:rsidRDefault="002212DD" w:rsidP="005F239E">
            <w:pPr>
              <w:ind w:left="119"/>
              <w:rPr>
                <w:rFonts w:ascii="Arial" w:hAnsi="Arial" w:cs="Arial"/>
                <w:sz w:val="16"/>
                <w:szCs w:val="16"/>
              </w:rPr>
            </w:pPr>
            <w:r>
              <w:rPr>
                <w:rFonts w:ascii="Arial" w:hAnsi="Arial" w:cs="Arial"/>
                <w:sz w:val="16"/>
                <w:szCs w:val="16"/>
              </w:rPr>
              <w:t>Middle</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15.9</w:t>
            </w:r>
          </w:p>
        </w:tc>
        <w:tc>
          <w:tcPr>
            <w:tcW w:w="1568"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6.2</w:t>
            </w:r>
          </w:p>
        </w:tc>
        <w:tc>
          <w:tcPr>
            <w:tcW w:w="1385"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22.2</w:t>
            </w:r>
          </w:p>
        </w:tc>
        <w:tc>
          <w:tcPr>
            <w:tcW w:w="1283"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4.4</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26.5</w:t>
            </w:r>
          </w:p>
        </w:tc>
      </w:tr>
      <w:tr w:rsidR="002212DD" w:rsidTr="004D46CD">
        <w:trPr>
          <w:trHeight w:val="284"/>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2212DD" w:rsidRDefault="002212DD" w:rsidP="005F239E">
            <w:pPr>
              <w:ind w:left="119"/>
              <w:rPr>
                <w:rFonts w:ascii="Arial" w:hAnsi="Arial" w:cs="Arial"/>
                <w:sz w:val="16"/>
                <w:szCs w:val="16"/>
              </w:rPr>
            </w:pPr>
            <w:r>
              <w:rPr>
                <w:rFonts w:ascii="Arial" w:hAnsi="Arial" w:cs="Arial"/>
                <w:sz w:val="16"/>
                <w:szCs w:val="16"/>
              </w:rPr>
              <w:t>Fourth</w:t>
            </w:r>
          </w:p>
        </w:tc>
        <w:tc>
          <w:tcPr>
            <w:tcW w:w="1507" w:type="dxa"/>
            <w:tcBorders>
              <w:top w:val="nil"/>
              <w:left w:val="single" w:sz="4" w:space="0" w:color="auto"/>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8.3</w:t>
            </w:r>
          </w:p>
        </w:tc>
        <w:tc>
          <w:tcPr>
            <w:tcW w:w="1568"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6.9</w:t>
            </w:r>
          </w:p>
        </w:tc>
        <w:tc>
          <w:tcPr>
            <w:tcW w:w="1385"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15.2</w:t>
            </w:r>
          </w:p>
        </w:tc>
        <w:tc>
          <w:tcPr>
            <w:tcW w:w="1283" w:type="dxa"/>
            <w:tcBorders>
              <w:top w:val="nil"/>
              <w:left w:val="nil"/>
              <w:bottom w:val="nil"/>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2.3</w:t>
            </w:r>
          </w:p>
        </w:tc>
        <w:tc>
          <w:tcPr>
            <w:tcW w:w="1650" w:type="dxa"/>
            <w:tcBorders>
              <w:top w:val="nil"/>
              <w:left w:val="nil"/>
              <w:bottom w:val="nil"/>
              <w:right w:val="single" w:sz="4" w:space="0" w:color="auto"/>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17.5</w:t>
            </w:r>
          </w:p>
        </w:tc>
      </w:tr>
      <w:tr w:rsidR="002212DD" w:rsidTr="00041B0B">
        <w:trPr>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80" w:type="dxa"/>
              <w:bottom w:w="0" w:type="dxa"/>
              <w:right w:w="15" w:type="dxa"/>
            </w:tcMar>
            <w:vAlign w:val="center"/>
            <w:hideMark/>
          </w:tcPr>
          <w:p w:rsidR="002212DD" w:rsidRDefault="002212DD" w:rsidP="005F239E">
            <w:pPr>
              <w:ind w:left="119"/>
              <w:rPr>
                <w:rFonts w:ascii="Arial" w:hAnsi="Arial" w:cs="Arial"/>
                <w:sz w:val="16"/>
                <w:szCs w:val="16"/>
              </w:rPr>
            </w:pPr>
            <w:r>
              <w:rPr>
                <w:rFonts w:ascii="Arial" w:hAnsi="Arial" w:cs="Arial"/>
                <w:sz w:val="16"/>
                <w:szCs w:val="16"/>
              </w:rPr>
              <w:t>Richest</w:t>
            </w:r>
          </w:p>
        </w:tc>
        <w:tc>
          <w:tcPr>
            <w:tcW w:w="1507" w:type="dxa"/>
            <w:tcBorders>
              <w:top w:val="nil"/>
              <w:left w:val="single" w:sz="4" w:space="0" w:color="auto"/>
              <w:bottom w:val="single" w:sz="4" w:space="0" w:color="auto"/>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6.0</w:t>
            </w:r>
          </w:p>
        </w:tc>
        <w:tc>
          <w:tcPr>
            <w:tcW w:w="1568" w:type="dxa"/>
            <w:tcBorders>
              <w:top w:val="nil"/>
              <w:left w:val="nil"/>
              <w:bottom w:val="single" w:sz="4" w:space="0" w:color="auto"/>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5.6</w:t>
            </w:r>
          </w:p>
        </w:tc>
        <w:tc>
          <w:tcPr>
            <w:tcW w:w="1385" w:type="dxa"/>
            <w:tcBorders>
              <w:top w:val="nil"/>
              <w:left w:val="nil"/>
              <w:bottom w:val="single" w:sz="4" w:space="0" w:color="auto"/>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11.6</w:t>
            </w:r>
          </w:p>
        </w:tc>
        <w:tc>
          <w:tcPr>
            <w:tcW w:w="1283" w:type="dxa"/>
            <w:tcBorders>
              <w:top w:val="nil"/>
              <w:left w:val="nil"/>
              <w:bottom w:val="single" w:sz="4" w:space="0" w:color="auto"/>
              <w:right w:val="nil"/>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2.2</w:t>
            </w:r>
          </w:p>
        </w:tc>
        <w:tc>
          <w:tcPr>
            <w:tcW w:w="165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2212DD" w:rsidRPr="002212DD" w:rsidRDefault="002212DD">
            <w:pPr>
              <w:jc w:val="right"/>
              <w:rPr>
                <w:rFonts w:asciiTheme="minorBidi" w:hAnsiTheme="minorBidi" w:cstheme="minorBidi"/>
                <w:sz w:val="16"/>
                <w:szCs w:val="16"/>
              </w:rPr>
            </w:pPr>
            <w:r w:rsidRPr="002212DD">
              <w:rPr>
                <w:rFonts w:asciiTheme="minorBidi" w:hAnsiTheme="minorBidi" w:cstheme="minorBidi"/>
                <w:sz w:val="16"/>
                <w:szCs w:val="16"/>
              </w:rPr>
              <w:t>13.8</w:t>
            </w:r>
          </w:p>
        </w:tc>
      </w:tr>
      <w:tr w:rsidR="00CE10F2" w:rsidRPr="00AE5708" w:rsidTr="00E95428">
        <w:trPr>
          <w:trHeight w:val="284"/>
        </w:trPr>
        <w:tc>
          <w:tcPr>
            <w:tcW w:w="0" w:type="auto"/>
            <w:gridSpan w:val="6"/>
            <w:tcBorders>
              <w:top w:val="single" w:sz="4" w:space="0" w:color="auto"/>
              <w:bottom w:val="nil"/>
            </w:tcBorders>
            <w:shd w:val="clear" w:color="auto" w:fill="auto"/>
            <w:noWrap/>
            <w:tcMar>
              <w:top w:w="15" w:type="dxa"/>
              <w:left w:w="15" w:type="dxa"/>
              <w:bottom w:w="0" w:type="dxa"/>
              <w:right w:w="15" w:type="dxa"/>
            </w:tcMar>
            <w:vAlign w:val="center"/>
            <w:hideMark/>
          </w:tcPr>
          <w:p w:rsidR="00CE10F2" w:rsidRPr="00AE5708" w:rsidRDefault="00CE10F2" w:rsidP="00E95428">
            <w:pPr>
              <w:rPr>
                <w:rFonts w:ascii="Arial" w:hAnsi="Arial" w:cs="Arial"/>
                <w:sz w:val="16"/>
                <w:szCs w:val="16"/>
              </w:rPr>
            </w:pPr>
            <w:r w:rsidRPr="00AE5708">
              <w:rPr>
                <w:rFonts w:ascii="Arial" w:hAnsi="Arial" w:cs="Arial"/>
                <w:sz w:val="16"/>
                <w:szCs w:val="16"/>
                <w:vertAlign w:val="superscript"/>
              </w:rPr>
              <w:t>1</w:t>
            </w:r>
            <w:r w:rsidRPr="00AE5708">
              <w:rPr>
                <w:rFonts w:ascii="Arial" w:hAnsi="Arial" w:cs="Arial"/>
                <w:sz w:val="16"/>
                <w:szCs w:val="16"/>
              </w:rPr>
              <w:t xml:space="preserve"> MICS indicator 1.1 - Neonatal mortality rate</w:t>
            </w:r>
          </w:p>
        </w:tc>
      </w:tr>
      <w:tr w:rsidR="00CE10F2" w:rsidRPr="00AE5708" w:rsidTr="00E95428">
        <w:trPr>
          <w:trHeight w:val="284"/>
        </w:trPr>
        <w:tc>
          <w:tcPr>
            <w:tcW w:w="0" w:type="auto"/>
            <w:gridSpan w:val="6"/>
            <w:tcBorders>
              <w:top w:val="nil"/>
              <w:bottom w:val="nil"/>
            </w:tcBorders>
            <w:shd w:val="clear" w:color="auto" w:fill="auto"/>
            <w:noWrap/>
            <w:tcMar>
              <w:top w:w="15" w:type="dxa"/>
              <w:left w:w="15" w:type="dxa"/>
              <w:bottom w:w="0" w:type="dxa"/>
              <w:right w:w="15" w:type="dxa"/>
            </w:tcMar>
            <w:vAlign w:val="center"/>
            <w:hideMark/>
          </w:tcPr>
          <w:p w:rsidR="00CE10F2" w:rsidRPr="00AE5708" w:rsidRDefault="00CE10F2" w:rsidP="00E95428">
            <w:pPr>
              <w:rPr>
                <w:rFonts w:ascii="Arial" w:hAnsi="Arial" w:cs="Arial"/>
                <w:sz w:val="16"/>
                <w:szCs w:val="16"/>
              </w:rPr>
            </w:pPr>
            <w:r w:rsidRPr="00AE5708">
              <w:rPr>
                <w:rFonts w:ascii="Arial" w:hAnsi="Arial" w:cs="Arial"/>
                <w:sz w:val="16"/>
                <w:szCs w:val="16"/>
                <w:vertAlign w:val="superscript"/>
              </w:rPr>
              <w:t>2</w:t>
            </w:r>
            <w:r w:rsidRPr="00AE5708">
              <w:rPr>
                <w:rFonts w:ascii="Arial" w:hAnsi="Arial" w:cs="Arial"/>
                <w:sz w:val="16"/>
                <w:szCs w:val="16"/>
              </w:rPr>
              <w:t xml:space="preserve"> MICS indicator 1.3 - Post-neonatal mortality rate</w:t>
            </w:r>
          </w:p>
        </w:tc>
      </w:tr>
      <w:tr w:rsidR="00CE10F2" w:rsidRPr="00AE5708" w:rsidTr="00E95428">
        <w:trPr>
          <w:trHeight w:val="284"/>
        </w:trPr>
        <w:tc>
          <w:tcPr>
            <w:tcW w:w="0" w:type="auto"/>
            <w:gridSpan w:val="6"/>
            <w:tcBorders>
              <w:top w:val="nil"/>
              <w:bottom w:val="nil"/>
            </w:tcBorders>
            <w:shd w:val="clear" w:color="auto" w:fill="auto"/>
            <w:noWrap/>
            <w:tcMar>
              <w:top w:w="15" w:type="dxa"/>
              <w:left w:w="15" w:type="dxa"/>
              <w:bottom w:w="0" w:type="dxa"/>
              <w:right w:w="15" w:type="dxa"/>
            </w:tcMar>
            <w:vAlign w:val="center"/>
            <w:hideMark/>
          </w:tcPr>
          <w:p w:rsidR="00CE10F2" w:rsidRPr="00AE5708" w:rsidRDefault="00CE10F2" w:rsidP="00E95428">
            <w:pPr>
              <w:rPr>
                <w:rFonts w:ascii="Arial" w:hAnsi="Arial" w:cs="Arial"/>
                <w:sz w:val="16"/>
                <w:szCs w:val="16"/>
              </w:rPr>
            </w:pPr>
            <w:r w:rsidRPr="00AE5708">
              <w:rPr>
                <w:rFonts w:ascii="Arial" w:hAnsi="Arial" w:cs="Arial"/>
                <w:sz w:val="16"/>
                <w:szCs w:val="16"/>
                <w:vertAlign w:val="superscript"/>
              </w:rPr>
              <w:t>3</w:t>
            </w:r>
            <w:r w:rsidRPr="00AE5708">
              <w:rPr>
                <w:rFonts w:ascii="Arial" w:hAnsi="Arial" w:cs="Arial"/>
                <w:sz w:val="16"/>
                <w:szCs w:val="16"/>
              </w:rPr>
              <w:t xml:space="preserve"> MICS indicator 1.2; MDG indicator 4.2 - Infant mortality rate</w:t>
            </w:r>
          </w:p>
        </w:tc>
      </w:tr>
      <w:tr w:rsidR="00CE10F2" w:rsidRPr="00AE5708" w:rsidTr="00E95428">
        <w:trPr>
          <w:trHeight w:val="284"/>
        </w:trPr>
        <w:tc>
          <w:tcPr>
            <w:tcW w:w="0" w:type="auto"/>
            <w:gridSpan w:val="6"/>
            <w:tcBorders>
              <w:top w:val="nil"/>
              <w:bottom w:val="nil"/>
            </w:tcBorders>
            <w:shd w:val="clear" w:color="auto" w:fill="auto"/>
            <w:noWrap/>
            <w:tcMar>
              <w:top w:w="15" w:type="dxa"/>
              <w:left w:w="15" w:type="dxa"/>
              <w:bottom w:w="0" w:type="dxa"/>
              <w:right w:w="15" w:type="dxa"/>
            </w:tcMar>
            <w:vAlign w:val="center"/>
            <w:hideMark/>
          </w:tcPr>
          <w:p w:rsidR="00CE10F2" w:rsidRPr="00AE5708" w:rsidRDefault="00CE10F2" w:rsidP="00E95428">
            <w:pPr>
              <w:rPr>
                <w:rFonts w:ascii="Arial" w:hAnsi="Arial" w:cs="Arial"/>
                <w:sz w:val="16"/>
                <w:szCs w:val="16"/>
              </w:rPr>
            </w:pPr>
            <w:r w:rsidRPr="00AE5708">
              <w:rPr>
                <w:rFonts w:ascii="Arial" w:hAnsi="Arial" w:cs="Arial"/>
                <w:sz w:val="16"/>
                <w:szCs w:val="16"/>
                <w:vertAlign w:val="superscript"/>
              </w:rPr>
              <w:t>4</w:t>
            </w:r>
            <w:r w:rsidRPr="00AE5708">
              <w:rPr>
                <w:rFonts w:ascii="Arial" w:hAnsi="Arial" w:cs="Arial"/>
                <w:sz w:val="16"/>
                <w:szCs w:val="16"/>
              </w:rPr>
              <w:t xml:space="preserve"> MICS indicator 1.4 - Child mortality rate</w:t>
            </w:r>
          </w:p>
        </w:tc>
      </w:tr>
      <w:tr w:rsidR="00CE10F2" w:rsidRPr="00AE5708" w:rsidTr="00E95428">
        <w:trPr>
          <w:trHeight w:val="284"/>
        </w:trPr>
        <w:tc>
          <w:tcPr>
            <w:tcW w:w="0" w:type="auto"/>
            <w:gridSpan w:val="6"/>
            <w:tcBorders>
              <w:top w:val="nil"/>
              <w:bottom w:val="nil"/>
            </w:tcBorders>
            <w:shd w:val="clear" w:color="auto" w:fill="auto"/>
            <w:noWrap/>
            <w:tcMar>
              <w:top w:w="15" w:type="dxa"/>
              <w:left w:w="15" w:type="dxa"/>
              <w:bottom w:w="0" w:type="dxa"/>
              <w:right w:w="15" w:type="dxa"/>
            </w:tcMar>
            <w:vAlign w:val="center"/>
            <w:hideMark/>
          </w:tcPr>
          <w:p w:rsidR="00CE10F2" w:rsidRPr="00AE5708" w:rsidRDefault="00CE10F2" w:rsidP="00E95428">
            <w:pPr>
              <w:rPr>
                <w:rFonts w:ascii="Arial" w:hAnsi="Arial" w:cs="Arial"/>
                <w:sz w:val="16"/>
                <w:szCs w:val="16"/>
              </w:rPr>
            </w:pPr>
            <w:r w:rsidRPr="00AE5708">
              <w:rPr>
                <w:rFonts w:ascii="Arial" w:hAnsi="Arial" w:cs="Arial"/>
                <w:sz w:val="16"/>
                <w:szCs w:val="16"/>
                <w:vertAlign w:val="superscript"/>
              </w:rPr>
              <w:t>5</w:t>
            </w:r>
            <w:r w:rsidRPr="00AE5708">
              <w:rPr>
                <w:rFonts w:ascii="Arial" w:hAnsi="Arial" w:cs="Arial"/>
                <w:sz w:val="16"/>
                <w:szCs w:val="16"/>
              </w:rPr>
              <w:t xml:space="preserve"> MICS indicator 1.5; MDG indicator 4.1 - Under-five mortality rate</w:t>
            </w:r>
          </w:p>
        </w:tc>
      </w:tr>
      <w:tr w:rsidR="00CE10F2" w:rsidTr="00805749">
        <w:trPr>
          <w:trHeight w:val="284"/>
        </w:trPr>
        <w:tc>
          <w:tcPr>
            <w:tcW w:w="9390" w:type="dxa"/>
            <w:gridSpan w:val="6"/>
            <w:tcBorders>
              <w:top w:val="nil"/>
              <w:bottom w:val="nil"/>
            </w:tcBorders>
            <w:shd w:val="clear" w:color="auto" w:fill="auto"/>
            <w:tcMar>
              <w:top w:w="15" w:type="dxa"/>
              <w:left w:w="15" w:type="dxa"/>
              <w:bottom w:w="0" w:type="dxa"/>
              <w:right w:w="15" w:type="dxa"/>
            </w:tcMar>
            <w:vAlign w:val="center"/>
            <w:hideMark/>
          </w:tcPr>
          <w:p w:rsidR="00CE10F2" w:rsidRDefault="00CE10F2" w:rsidP="00E95428">
            <w:pPr>
              <w:rPr>
                <w:rFonts w:ascii="Arial" w:hAnsi="Arial" w:cs="Arial"/>
                <w:sz w:val="16"/>
                <w:szCs w:val="16"/>
              </w:rPr>
            </w:pPr>
            <w:r>
              <w:rPr>
                <w:rFonts w:ascii="Arial" w:hAnsi="Arial" w:cs="Arial"/>
                <w:sz w:val="16"/>
                <w:szCs w:val="16"/>
                <w:vertAlign w:val="superscript"/>
              </w:rPr>
              <w:t xml:space="preserve">a </w:t>
            </w:r>
            <w:r>
              <w:rPr>
                <w:rFonts w:ascii="Arial" w:hAnsi="Arial" w:cs="Arial"/>
                <w:sz w:val="16"/>
                <w:szCs w:val="16"/>
              </w:rPr>
              <w:t>Post-neonatal mortality rates are computed as the difference between the infant and neonatal mortality rates</w:t>
            </w:r>
          </w:p>
        </w:tc>
      </w:tr>
      <w:tr w:rsidR="00805749" w:rsidTr="00805749">
        <w:trPr>
          <w:trHeight w:val="284"/>
        </w:trPr>
        <w:tc>
          <w:tcPr>
            <w:tcW w:w="9390" w:type="dxa"/>
            <w:gridSpan w:val="6"/>
            <w:tcBorders>
              <w:top w:val="nil"/>
              <w:bottom w:val="nil"/>
            </w:tcBorders>
            <w:shd w:val="clear" w:color="auto" w:fill="auto"/>
            <w:tcMar>
              <w:top w:w="15" w:type="dxa"/>
              <w:left w:w="15" w:type="dxa"/>
              <w:bottom w:w="0" w:type="dxa"/>
              <w:right w:w="15" w:type="dxa"/>
            </w:tcMar>
            <w:vAlign w:val="center"/>
          </w:tcPr>
          <w:p w:rsidR="00805749" w:rsidRDefault="00805749" w:rsidP="008C3E08">
            <w:pPr>
              <w:rPr>
                <w:rFonts w:ascii="Arial" w:hAnsi="Arial" w:cs="Arial"/>
                <w:sz w:val="16"/>
                <w:szCs w:val="16"/>
                <w:vertAlign w:val="superscript"/>
              </w:rPr>
            </w:pPr>
            <w:r w:rsidRPr="009F0836">
              <w:rPr>
                <w:rFonts w:ascii="Arial" w:hAnsi="Arial" w:cs="Arial"/>
                <w:sz w:val="16"/>
                <w:szCs w:val="16"/>
              </w:rPr>
              <w:t>(*) Figures that are based on less than 25</w:t>
            </w:r>
            <w:r w:rsidR="00781491">
              <w:rPr>
                <w:rFonts w:ascii="Arial" w:hAnsi="Arial" w:cs="Arial"/>
                <w:sz w:val="16"/>
                <w:szCs w:val="16"/>
              </w:rPr>
              <w:t>0</w:t>
            </w:r>
            <w:r w:rsidRPr="009F0836">
              <w:rPr>
                <w:rFonts w:ascii="Arial" w:hAnsi="Arial" w:cs="Arial"/>
                <w:sz w:val="16"/>
                <w:szCs w:val="16"/>
              </w:rPr>
              <w:t xml:space="preserve"> unweighted </w:t>
            </w:r>
            <w:r w:rsidR="008C3E08">
              <w:rPr>
                <w:rFonts w:ascii="Arial" w:hAnsi="Arial" w:cs="Arial"/>
                <w:sz w:val="16"/>
                <w:szCs w:val="16"/>
              </w:rPr>
              <w:t>exposed persons</w:t>
            </w:r>
          </w:p>
        </w:tc>
      </w:tr>
    </w:tbl>
    <w:p w:rsidR="00CE10F2" w:rsidRDefault="00CE10F2" w:rsidP="00CB54EF">
      <w:pPr>
        <w:spacing w:line="264" w:lineRule="auto"/>
        <w:jc w:val="center"/>
        <w:rPr>
          <w:rFonts w:ascii="Calibri" w:hAnsi="Calibri"/>
          <w:color w:val="FF0000"/>
          <w:szCs w:val="22"/>
        </w:rPr>
      </w:pPr>
    </w:p>
    <w:p w:rsidR="00CE10F2" w:rsidRDefault="00CE10F2" w:rsidP="00CE10F2">
      <w:pPr>
        <w:spacing w:line="264" w:lineRule="auto"/>
        <w:jc w:val="center"/>
        <w:rPr>
          <w:rFonts w:ascii="Calibri" w:hAnsi="Calibri"/>
          <w:color w:val="FF0000"/>
          <w:szCs w:val="22"/>
        </w:rPr>
      </w:pPr>
    </w:p>
    <w:p w:rsidR="00CE10F2" w:rsidRDefault="00CE10F2" w:rsidP="00CE10F2">
      <w:pPr>
        <w:spacing w:line="264" w:lineRule="auto"/>
        <w:jc w:val="center"/>
        <w:rPr>
          <w:rFonts w:ascii="Calibri" w:hAnsi="Calibri"/>
          <w:color w:val="FF0000"/>
          <w:szCs w:val="22"/>
        </w:rPr>
      </w:pPr>
    </w:p>
    <w:p w:rsidR="00CE10F2" w:rsidRDefault="00CE10F2" w:rsidP="00CE10F2">
      <w:pPr>
        <w:spacing w:line="264" w:lineRule="auto"/>
        <w:jc w:val="center"/>
        <w:rPr>
          <w:rFonts w:ascii="Calibri" w:hAnsi="Calibri"/>
          <w:color w:val="FF0000"/>
          <w:szCs w:val="22"/>
        </w:rPr>
      </w:pPr>
    </w:p>
    <w:p w:rsidR="008A5222" w:rsidRDefault="008A5222" w:rsidP="00CE10F2">
      <w:pPr>
        <w:spacing w:line="264" w:lineRule="auto"/>
        <w:jc w:val="center"/>
        <w:rPr>
          <w:rFonts w:ascii="Calibri" w:hAnsi="Calibri"/>
          <w:color w:val="FF0000"/>
          <w:szCs w:val="22"/>
        </w:rPr>
      </w:pPr>
    </w:p>
    <w:p w:rsidR="008A5222" w:rsidRDefault="008A5222" w:rsidP="00CE10F2">
      <w:pPr>
        <w:spacing w:line="264" w:lineRule="auto"/>
        <w:jc w:val="center"/>
        <w:rPr>
          <w:rFonts w:ascii="Calibri" w:hAnsi="Calibri"/>
          <w:color w:val="FF0000"/>
          <w:szCs w:val="22"/>
        </w:rPr>
      </w:pPr>
    </w:p>
    <w:p w:rsidR="00CE10F2" w:rsidRDefault="00CE10F2" w:rsidP="00CE10F2">
      <w:pPr>
        <w:spacing w:line="264" w:lineRule="auto"/>
        <w:jc w:val="center"/>
        <w:rPr>
          <w:rFonts w:ascii="Calibri" w:hAnsi="Calibri"/>
          <w:color w:val="FF0000"/>
          <w:szCs w:val="22"/>
        </w:rPr>
      </w:pPr>
    </w:p>
    <w:p w:rsidR="00BE52C3" w:rsidRDefault="00BE52C3" w:rsidP="00CE10F2">
      <w:pPr>
        <w:spacing w:line="264" w:lineRule="auto"/>
        <w:jc w:val="center"/>
        <w:rPr>
          <w:rFonts w:ascii="Calibri" w:hAnsi="Calibri"/>
          <w:color w:val="FF0000"/>
          <w:szCs w:val="22"/>
        </w:rPr>
      </w:pPr>
    </w:p>
    <w:p w:rsidR="00BE52C3" w:rsidRDefault="00BE52C3" w:rsidP="00CE10F2">
      <w:pPr>
        <w:spacing w:line="264" w:lineRule="auto"/>
        <w:jc w:val="center"/>
        <w:rPr>
          <w:rFonts w:ascii="Calibri" w:hAnsi="Calibri"/>
          <w:color w:val="FF0000"/>
          <w:szCs w:val="22"/>
        </w:rPr>
      </w:pPr>
    </w:p>
    <w:p w:rsidR="00BE52C3" w:rsidRDefault="00BE52C3" w:rsidP="00CE10F2">
      <w:pPr>
        <w:spacing w:line="264" w:lineRule="auto"/>
        <w:jc w:val="center"/>
        <w:rPr>
          <w:rFonts w:ascii="Calibri" w:hAnsi="Calibri"/>
          <w:color w:val="FF0000"/>
          <w:szCs w:val="22"/>
        </w:rPr>
      </w:pPr>
    </w:p>
    <w:p w:rsidR="00BE52C3" w:rsidRDefault="00BE52C3" w:rsidP="00CE10F2">
      <w:pPr>
        <w:spacing w:line="264" w:lineRule="auto"/>
        <w:jc w:val="center"/>
        <w:rPr>
          <w:rFonts w:ascii="Calibri" w:hAnsi="Calibri"/>
          <w:color w:val="FF0000"/>
          <w:szCs w:val="22"/>
        </w:rPr>
      </w:pPr>
    </w:p>
    <w:p w:rsidR="00BE52C3" w:rsidRDefault="00BE52C3" w:rsidP="00CE10F2">
      <w:pPr>
        <w:spacing w:line="264" w:lineRule="auto"/>
        <w:jc w:val="center"/>
        <w:rPr>
          <w:rFonts w:ascii="Calibri" w:hAnsi="Calibri"/>
          <w:color w:val="FF0000"/>
          <w:szCs w:val="22"/>
        </w:rPr>
      </w:pPr>
    </w:p>
    <w:p w:rsidR="00BE52C3" w:rsidRDefault="00BE52C3" w:rsidP="00CE10F2">
      <w:pPr>
        <w:spacing w:line="264" w:lineRule="auto"/>
        <w:jc w:val="center"/>
        <w:rPr>
          <w:rFonts w:ascii="Calibri" w:hAnsi="Calibri"/>
          <w:color w:val="FF0000"/>
          <w:szCs w:val="22"/>
        </w:rPr>
      </w:pPr>
    </w:p>
    <w:p w:rsidR="00CE10F2" w:rsidRDefault="00CE10F2" w:rsidP="00CE10F2">
      <w:pPr>
        <w:spacing w:line="264" w:lineRule="auto"/>
        <w:jc w:val="center"/>
        <w:rPr>
          <w:rFonts w:ascii="Calibri" w:hAnsi="Calibri"/>
          <w:color w:val="FF0000"/>
          <w:szCs w:val="22"/>
        </w:rPr>
      </w:pPr>
    </w:p>
    <w:tbl>
      <w:tblPr>
        <w:tblW w:w="5000" w:type="pct"/>
        <w:jc w:val="center"/>
        <w:tblLook w:val="04A0"/>
      </w:tblPr>
      <w:tblGrid>
        <w:gridCol w:w="2425"/>
        <w:gridCol w:w="1363"/>
        <w:gridCol w:w="1364"/>
        <w:gridCol w:w="1363"/>
        <w:gridCol w:w="1364"/>
        <w:gridCol w:w="1364"/>
      </w:tblGrid>
      <w:tr w:rsidR="00CE10F2" w:rsidRPr="008050F7" w:rsidTr="00896A7C">
        <w:trPr>
          <w:trHeight w:val="390"/>
          <w:jc w:val="center"/>
        </w:trPr>
        <w:tc>
          <w:tcPr>
            <w:tcW w:w="9576" w:type="dxa"/>
            <w:gridSpan w:val="6"/>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CE10F2" w:rsidRPr="008050F7" w:rsidRDefault="00CE10F2" w:rsidP="00CE10F2">
            <w:pPr>
              <w:rPr>
                <w:rFonts w:asciiTheme="minorBidi" w:hAnsiTheme="minorBidi" w:cstheme="minorBidi"/>
                <w:b/>
                <w:bCs/>
                <w:color w:val="FFFFFF"/>
                <w:sz w:val="20"/>
              </w:rPr>
            </w:pPr>
            <w:r w:rsidRPr="008050F7">
              <w:rPr>
                <w:rFonts w:asciiTheme="minorBidi" w:hAnsiTheme="minorBidi" w:cstheme="minorBidi"/>
                <w:b/>
                <w:bCs/>
                <w:color w:val="FFFFFF"/>
                <w:sz w:val="20"/>
              </w:rPr>
              <w:lastRenderedPageBreak/>
              <w:t>Table CM.3: Early childhood mortality rates by demographic characteristics</w:t>
            </w:r>
          </w:p>
        </w:tc>
      </w:tr>
      <w:tr w:rsidR="00CE10F2" w:rsidRPr="008050F7" w:rsidTr="00896A7C">
        <w:trPr>
          <w:trHeight w:val="510"/>
          <w:jc w:val="center"/>
        </w:trPr>
        <w:tc>
          <w:tcPr>
            <w:tcW w:w="95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E10F2" w:rsidRPr="008050F7" w:rsidRDefault="00CE10F2" w:rsidP="00CE10F2">
            <w:pPr>
              <w:rPr>
                <w:rFonts w:asciiTheme="minorBidi" w:hAnsiTheme="minorBidi" w:cstheme="minorBidi"/>
                <w:sz w:val="20"/>
              </w:rPr>
            </w:pPr>
            <w:r w:rsidRPr="008050F7">
              <w:rPr>
                <w:rFonts w:asciiTheme="minorBidi" w:hAnsiTheme="minorBidi" w:cstheme="minorBidi"/>
                <w:sz w:val="20"/>
              </w:rPr>
              <w:t xml:space="preserve">Neonatal, post-neonatal, Infant, child and under-five mortality rates for the five year period preceding the survey, by demographic characteristics, </w:t>
            </w:r>
            <w:r w:rsidR="00AA7DED" w:rsidRPr="008050F7">
              <w:rPr>
                <w:rFonts w:asciiTheme="minorBidi" w:hAnsiTheme="minorBidi" w:cstheme="minorBidi"/>
                <w:sz w:val="20"/>
              </w:rPr>
              <w:t>Palestine, 2014</w:t>
            </w:r>
          </w:p>
        </w:tc>
      </w:tr>
      <w:tr w:rsidR="00CE10F2" w:rsidRPr="00622CA6" w:rsidTr="00EF043E">
        <w:trPr>
          <w:trHeight w:val="510"/>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rsidR="00CE10F2" w:rsidRPr="00622CA6" w:rsidRDefault="00CE10F2" w:rsidP="00CE10F2">
            <w:pPr>
              <w:rPr>
                <w:rFonts w:asciiTheme="minorBidi" w:hAnsiTheme="minorBidi" w:cstheme="minorBidi"/>
                <w:b/>
                <w:bCs/>
                <w:sz w:val="16"/>
                <w:szCs w:val="16"/>
              </w:rPr>
            </w:pPr>
            <w:r w:rsidRPr="00622CA6">
              <w:rPr>
                <w:rFonts w:asciiTheme="minorBidi" w:hAnsiTheme="minorBidi" w:cstheme="minorBidi"/>
                <w:b/>
                <w:bCs/>
                <w:sz w:val="16"/>
                <w:szCs w:val="16"/>
              </w:rPr>
              <w:t> </w:t>
            </w:r>
          </w:p>
        </w:tc>
        <w:tc>
          <w:tcPr>
            <w:tcW w:w="1411" w:type="dxa"/>
            <w:tcBorders>
              <w:top w:val="nil"/>
              <w:left w:val="single" w:sz="4" w:space="0" w:color="auto"/>
              <w:bottom w:val="single" w:sz="4" w:space="0" w:color="auto"/>
              <w:right w:val="nil"/>
            </w:tcBorders>
            <w:shd w:val="clear" w:color="auto" w:fill="auto"/>
            <w:vAlign w:val="center"/>
            <w:hideMark/>
          </w:tcPr>
          <w:p w:rsidR="00CE10F2" w:rsidRPr="00622CA6" w:rsidRDefault="00CE10F2" w:rsidP="00CE10F2">
            <w:pPr>
              <w:jc w:val="center"/>
              <w:rPr>
                <w:rFonts w:asciiTheme="minorBidi" w:hAnsiTheme="minorBidi" w:cstheme="minorBidi"/>
                <w:sz w:val="16"/>
                <w:szCs w:val="16"/>
              </w:rPr>
            </w:pPr>
            <w:r w:rsidRPr="00622CA6">
              <w:rPr>
                <w:rFonts w:asciiTheme="minorBidi" w:hAnsiTheme="minorBidi" w:cstheme="minorBidi"/>
                <w:sz w:val="16"/>
                <w:szCs w:val="16"/>
              </w:rPr>
              <w:t>Neonatal mortality rate</w:t>
            </w:r>
            <w:r w:rsidRPr="00622CA6">
              <w:rPr>
                <w:rFonts w:asciiTheme="minorBidi" w:hAnsiTheme="minorBidi" w:cstheme="minorBidi"/>
                <w:sz w:val="16"/>
                <w:szCs w:val="16"/>
                <w:vertAlign w:val="superscript"/>
              </w:rPr>
              <w:t>1</w:t>
            </w:r>
          </w:p>
        </w:tc>
        <w:tc>
          <w:tcPr>
            <w:tcW w:w="1412" w:type="dxa"/>
            <w:tcBorders>
              <w:top w:val="nil"/>
              <w:left w:val="nil"/>
              <w:bottom w:val="single" w:sz="4" w:space="0" w:color="auto"/>
              <w:right w:val="nil"/>
            </w:tcBorders>
            <w:shd w:val="clear" w:color="auto" w:fill="auto"/>
            <w:vAlign w:val="center"/>
            <w:hideMark/>
          </w:tcPr>
          <w:p w:rsidR="00CE10F2" w:rsidRPr="00622CA6" w:rsidRDefault="00CE10F2" w:rsidP="00CE10F2">
            <w:pPr>
              <w:jc w:val="center"/>
              <w:rPr>
                <w:rFonts w:asciiTheme="minorBidi" w:hAnsiTheme="minorBidi" w:cstheme="minorBidi"/>
                <w:sz w:val="16"/>
                <w:szCs w:val="16"/>
              </w:rPr>
            </w:pPr>
            <w:r w:rsidRPr="00622CA6">
              <w:rPr>
                <w:rFonts w:asciiTheme="minorBidi" w:hAnsiTheme="minorBidi" w:cstheme="minorBidi"/>
                <w:sz w:val="16"/>
                <w:szCs w:val="16"/>
              </w:rPr>
              <w:t>Post-neonatal mortality rate</w:t>
            </w:r>
            <w:r w:rsidRPr="00622CA6">
              <w:rPr>
                <w:rFonts w:asciiTheme="minorBidi" w:hAnsiTheme="minorBidi" w:cstheme="minorBidi"/>
                <w:sz w:val="16"/>
                <w:szCs w:val="16"/>
                <w:vertAlign w:val="superscript"/>
              </w:rPr>
              <w:t>2,</w:t>
            </w:r>
            <w:r w:rsidRPr="00622CA6">
              <w:rPr>
                <w:rFonts w:asciiTheme="minorBidi" w:hAnsiTheme="minorBidi" w:cstheme="minorBidi"/>
                <w:sz w:val="16"/>
                <w:szCs w:val="16"/>
              </w:rPr>
              <w:t xml:space="preserve"> </w:t>
            </w:r>
            <w:r w:rsidRPr="00622CA6">
              <w:rPr>
                <w:rFonts w:asciiTheme="minorBidi" w:hAnsiTheme="minorBidi" w:cstheme="minorBidi"/>
                <w:sz w:val="16"/>
                <w:szCs w:val="16"/>
                <w:vertAlign w:val="superscript"/>
              </w:rPr>
              <w:t>a</w:t>
            </w:r>
          </w:p>
        </w:tc>
        <w:tc>
          <w:tcPr>
            <w:tcW w:w="1411" w:type="dxa"/>
            <w:tcBorders>
              <w:top w:val="nil"/>
              <w:left w:val="nil"/>
              <w:bottom w:val="single" w:sz="4" w:space="0" w:color="auto"/>
              <w:right w:val="nil"/>
            </w:tcBorders>
            <w:shd w:val="clear" w:color="auto" w:fill="auto"/>
            <w:vAlign w:val="center"/>
            <w:hideMark/>
          </w:tcPr>
          <w:p w:rsidR="00CE10F2" w:rsidRPr="00622CA6" w:rsidRDefault="00CE10F2" w:rsidP="00CE10F2">
            <w:pPr>
              <w:jc w:val="center"/>
              <w:rPr>
                <w:rFonts w:asciiTheme="minorBidi" w:hAnsiTheme="minorBidi" w:cstheme="minorBidi"/>
                <w:sz w:val="16"/>
                <w:szCs w:val="16"/>
              </w:rPr>
            </w:pPr>
            <w:r w:rsidRPr="00622CA6">
              <w:rPr>
                <w:rFonts w:asciiTheme="minorBidi" w:hAnsiTheme="minorBidi" w:cstheme="minorBidi"/>
                <w:sz w:val="16"/>
                <w:szCs w:val="16"/>
              </w:rPr>
              <w:t>Infant mortality rate</w:t>
            </w:r>
            <w:r w:rsidRPr="00622CA6">
              <w:rPr>
                <w:rFonts w:asciiTheme="minorBidi" w:hAnsiTheme="minorBidi" w:cstheme="minorBidi"/>
                <w:sz w:val="16"/>
                <w:szCs w:val="16"/>
                <w:vertAlign w:val="superscript"/>
              </w:rPr>
              <w:t>3</w:t>
            </w:r>
          </w:p>
        </w:tc>
        <w:tc>
          <w:tcPr>
            <w:tcW w:w="1412" w:type="dxa"/>
            <w:tcBorders>
              <w:top w:val="nil"/>
              <w:left w:val="nil"/>
              <w:bottom w:val="single" w:sz="4" w:space="0" w:color="auto"/>
              <w:right w:val="nil"/>
            </w:tcBorders>
            <w:shd w:val="clear" w:color="auto" w:fill="auto"/>
            <w:vAlign w:val="center"/>
            <w:hideMark/>
          </w:tcPr>
          <w:p w:rsidR="00CE10F2" w:rsidRPr="00622CA6" w:rsidRDefault="00CE10F2" w:rsidP="00CE10F2">
            <w:pPr>
              <w:jc w:val="center"/>
              <w:rPr>
                <w:rFonts w:asciiTheme="minorBidi" w:hAnsiTheme="minorBidi" w:cstheme="minorBidi"/>
                <w:sz w:val="16"/>
                <w:szCs w:val="16"/>
              </w:rPr>
            </w:pPr>
            <w:r w:rsidRPr="00622CA6">
              <w:rPr>
                <w:rFonts w:asciiTheme="minorBidi" w:hAnsiTheme="minorBidi" w:cstheme="minorBidi"/>
                <w:sz w:val="16"/>
                <w:szCs w:val="16"/>
              </w:rPr>
              <w:t>Child mortality rate</w:t>
            </w:r>
            <w:r w:rsidRPr="00622CA6">
              <w:rPr>
                <w:rFonts w:asciiTheme="minorBidi" w:hAnsiTheme="minorBidi" w:cstheme="minorBidi"/>
                <w:sz w:val="16"/>
                <w:szCs w:val="16"/>
                <w:vertAlign w:val="superscript"/>
              </w:rPr>
              <w:t>4</w:t>
            </w:r>
          </w:p>
        </w:tc>
        <w:tc>
          <w:tcPr>
            <w:tcW w:w="1412" w:type="dxa"/>
            <w:tcBorders>
              <w:top w:val="nil"/>
              <w:left w:val="nil"/>
              <w:bottom w:val="single" w:sz="4" w:space="0" w:color="auto"/>
              <w:right w:val="single" w:sz="4" w:space="0" w:color="auto"/>
            </w:tcBorders>
            <w:shd w:val="clear" w:color="auto" w:fill="auto"/>
            <w:vAlign w:val="center"/>
            <w:hideMark/>
          </w:tcPr>
          <w:p w:rsidR="00CE10F2" w:rsidRPr="00622CA6" w:rsidRDefault="00CE10F2" w:rsidP="00CE10F2">
            <w:pPr>
              <w:jc w:val="center"/>
              <w:rPr>
                <w:rFonts w:asciiTheme="minorBidi" w:hAnsiTheme="minorBidi" w:cstheme="minorBidi"/>
                <w:sz w:val="16"/>
                <w:szCs w:val="16"/>
              </w:rPr>
            </w:pPr>
            <w:r w:rsidRPr="00622CA6">
              <w:rPr>
                <w:rFonts w:asciiTheme="minorBidi" w:hAnsiTheme="minorBidi" w:cstheme="minorBidi"/>
                <w:sz w:val="16"/>
                <w:szCs w:val="16"/>
              </w:rPr>
              <w:t>Under-five mortality rate</w:t>
            </w:r>
            <w:r w:rsidRPr="00622CA6">
              <w:rPr>
                <w:rFonts w:asciiTheme="minorBidi" w:hAnsiTheme="minorBidi" w:cstheme="minorBidi"/>
                <w:sz w:val="16"/>
                <w:szCs w:val="16"/>
                <w:vertAlign w:val="superscript"/>
              </w:rPr>
              <w:t>5</w:t>
            </w:r>
          </w:p>
        </w:tc>
      </w:tr>
      <w:tr w:rsidR="00CE10F2"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CE10F2" w:rsidRPr="00622CA6" w:rsidRDefault="00CE10F2" w:rsidP="00CE10F2">
            <w:pPr>
              <w:rPr>
                <w:rFonts w:asciiTheme="minorBidi" w:hAnsiTheme="minorBidi" w:cstheme="minorBidi"/>
                <w:b/>
                <w:bCs/>
                <w:sz w:val="16"/>
                <w:szCs w:val="16"/>
              </w:rPr>
            </w:pPr>
            <w:r w:rsidRPr="00622CA6">
              <w:rPr>
                <w:rFonts w:asciiTheme="minorBidi" w:hAnsiTheme="minorBidi" w:cstheme="minorBidi"/>
                <w:b/>
                <w:bCs/>
                <w:sz w:val="16"/>
                <w:szCs w:val="16"/>
              </w:rPr>
              <w:t> </w:t>
            </w:r>
          </w:p>
        </w:tc>
        <w:tc>
          <w:tcPr>
            <w:tcW w:w="1411" w:type="dxa"/>
            <w:tcBorders>
              <w:top w:val="nil"/>
              <w:left w:val="single" w:sz="4" w:space="0" w:color="auto"/>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1"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single" w:sz="4" w:space="0" w:color="auto"/>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r w:rsidRPr="00622CA6">
              <w:rPr>
                <w:rFonts w:asciiTheme="minorBidi" w:hAnsiTheme="minorBidi" w:cstheme="minorBidi"/>
                <w:sz w:val="16"/>
                <w:szCs w:val="16"/>
              </w:rPr>
              <w:t> </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622CA6" w:rsidRPr="00622CA6" w:rsidRDefault="00622CA6" w:rsidP="001830CA">
            <w:pPr>
              <w:ind w:left="119"/>
              <w:rPr>
                <w:rFonts w:asciiTheme="minorBidi" w:hAnsiTheme="minorBidi" w:cstheme="minorBidi"/>
                <w:b/>
                <w:bCs/>
                <w:sz w:val="16"/>
                <w:szCs w:val="16"/>
              </w:rPr>
            </w:pPr>
            <w:r w:rsidRPr="00622CA6">
              <w:rPr>
                <w:rFonts w:asciiTheme="minorBidi" w:hAnsiTheme="minorBidi" w:cstheme="minorBidi"/>
                <w:b/>
                <w:bCs/>
                <w:sz w:val="16"/>
                <w:szCs w:val="16"/>
              </w:rPr>
              <w:t>Total</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sz w:val="16"/>
                <w:szCs w:val="16"/>
              </w:rPr>
            </w:pPr>
            <w:r w:rsidRPr="00622CA6">
              <w:rPr>
                <w:rFonts w:asciiTheme="minorBidi" w:hAnsiTheme="minorBidi" w:cstheme="minorBidi"/>
                <w:sz w:val="16"/>
                <w:szCs w:val="16"/>
              </w:rPr>
              <w:t>11.2</w:t>
            </w:r>
          </w:p>
        </w:tc>
        <w:tc>
          <w:tcPr>
            <w:tcW w:w="1412"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sz w:val="16"/>
                <w:szCs w:val="16"/>
              </w:rPr>
            </w:pPr>
            <w:r w:rsidRPr="00622CA6">
              <w:rPr>
                <w:rFonts w:asciiTheme="minorBidi" w:hAnsiTheme="minorBidi" w:cstheme="minorBidi"/>
                <w:sz w:val="16"/>
                <w:szCs w:val="16"/>
              </w:rPr>
              <w:t>7.1</w:t>
            </w:r>
          </w:p>
        </w:tc>
        <w:tc>
          <w:tcPr>
            <w:tcW w:w="1411"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sz w:val="16"/>
                <w:szCs w:val="16"/>
              </w:rPr>
            </w:pPr>
            <w:r w:rsidRPr="00622CA6">
              <w:rPr>
                <w:rFonts w:asciiTheme="minorBidi" w:hAnsiTheme="minorBidi" w:cstheme="minorBidi"/>
                <w:sz w:val="16"/>
                <w:szCs w:val="16"/>
              </w:rPr>
              <w:t>18.2</w:t>
            </w:r>
          </w:p>
        </w:tc>
        <w:tc>
          <w:tcPr>
            <w:tcW w:w="1412"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sz w:val="16"/>
                <w:szCs w:val="16"/>
              </w:rPr>
            </w:pPr>
            <w:r w:rsidRPr="00622CA6">
              <w:rPr>
                <w:rFonts w:asciiTheme="minorBidi" w:hAnsiTheme="minorBidi" w:cstheme="minorBidi"/>
                <w:sz w:val="16"/>
                <w:szCs w:val="16"/>
              </w:rPr>
              <w:t>3.6</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rsidP="001830CA">
            <w:pPr>
              <w:ind w:right="72"/>
              <w:jc w:val="right"/>
              <w:rPr>
                <w:rFonts w:asciiTheme="minorBidi" w:hAnsiTheme="minorBidi" w:cstheme="minorBidi"/>
                <w:sz w:val="16"/>
                <w:szCs w:val="16"/>
              </w:rPr>
            </w:pPr>
            <w:r w:rsidRPr="00622CA6">
              <w:rPr>
                <w:rFonts w:asciiTheme="minorBidi" w:hAnsiTheme="minorBidi" w:cstheme="minorBidi"/>
                <w:sz w:val="16"/>
                <w:szCs w:val="16"/>
              </w:rPr>
              <w:t>21.7</w:t>
            </w:r>
          </w:p>
        </w:tc>
      </w:tr>
      <w:tr w:rsidR="00CE10F2"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CE10F2" w:rsidRPr="00622CA6" w:rsidRDefault="00CE10F2" w:rsidP="00CE10F2">
            <w:pPr>
              <w:rPr>
                <w:rFonts w:asciiTheme="minorBidi" w:hAnsiTheme="minorBidi" w:cstheme="minorBidi"/>
                <w:sz w:val="16"/>
                <w:szCs w:val="16"/>
              </w:rPr>
            </w:pPr>
            <w:r w:rsidRPr="00622CA6">
              <w:rPr>
                <w:rFonts w:asciiTheme="minorBidi" w:hAnsiTheme="minorBidi" w:cstheme="minorBidi"/>
                <w:sz w:val="16"/>
                <w:szCs w:val="16"/>
              </w:rPr>
              <w:t> </w:t>
            </w:r>
          </w:p>
        </w:tc>
        <w:tc>
          <w:tcPr>
            <w:tcW w:w="1411" w:type="dxa"/>
            <w:tcBorders>
              <w:top w:val="nil"/>
              <w:left w:val="single" w:sz="4" w:space="0" w:color="auto"/>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1"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single" w:sz="4" w:space="0" w:color="auto"/>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r w:rsidRPr="00622CA6">
              <w:rPr>
                <w:rFonts w:asciiTheme="minorBidi" w:hAnsiTheme="minorBidi" w:cstheme="minorBidi"/>
                <w:sz w:val="16"/>
                <w:szCs w:val="16"/>
              </w:rPr>
              <w:t> </w:t>
            </w:r>
          </w:p>
        </w:tc>
      </w:tr>
      <w:tr w:rsidR="00CE10F2"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CE10F2" w:rsidRPr="00622CA6" w:rsidRDefault="00CE10F2" w:rsidP="00CE10F2">
            <w:pPr>
              <w:rPr>
                <w:rFonts w:asciiTheme="minorBidi" w:hAnsiTheme="minorBidi" w:cstheme="minorBidi"/>
                <w:b/>
                <w:bCs/>
                <w:sz w:val="16"/>
                <w:szCs w:val="16"/>
              </w:rPr>
            </w:pPr>
            <w:r w:rsidRPr="00622CA6">
              <w:rPr>
                <w:rFonts w:asciiTheme="minorBidi" w:hAnsiTheme="minorBidi" w:cstheme="minorBidi"/>
                <w:b/>
                <w:bCs/>
                <w:sz w:val="16"/>
                <w:szCs w:val="16"/>
              </w:rPr>
              <w:t>Sex of child</w:t>
            </w:r>
          </w:p>
        </w:tc>
        <w:tc>
          <w:tcPr>
            <w:tcW w:w="1411" w:type="dxa"/>
            <w:tcBorders>
              <w:top w:val="nil"/>
              <w:left w:val="single" w:sz="4" w:space="0" w:color="auto"/>
              <w:bottom w:val="nil"/>
              <w:right w:val="nil"/>
            </w:tcBorders>
            <w:shd w:val="clear" w:color="auto" w:fill="auto"/>
            <w:noWrap/>
            <w:vAlign w:val="center"/>
            <w:hideMark/>
          </w:tcPr>
          <w:p w:rsidR="00CE10F2" w:rsidRPr="00622CA6" w:rsidRDefault="00CE10F2" w:rsidP="00CE10F2">
            <w:pPr>
              <w:jc w:val="right"/>
              <w:rPr>
                <w:rFonts w:asciiTheme="minorBidi" w:hAnsiTheme="minorBidi" w:cstheme="minorBidi"/>
                <w:b/>
                <w:bCs/>
                <w:sz w:val="16"/>
                <w:szCs w:val="16"/>
              </w:rPr>
            </w:pPr>
          </w:p>
        </w:tc>
        <w:tc>
          <w:tcPr>
            <w:tcW w:w="1412" w:type="dxa"/>
            <w:tcBorders>
              <w:top w:val="nil"/>
              <w:left w:val="nil"/>
              <w:bottom w:val="nil"/>
              <w:right w:val="nil"/>
            </w:tcBorders>
            <w:shd w:val="clear" w:color="auto" w:fill="auto"/>
            <w:noWrap/>
            <w:vAlign w:val="center"/>
            <w:hideMark/>
          </w:tcPr>
          <w:p w:rsidR="00CE10F2" w:rsidRPr="00622CA6" w:rsidRDefault="00CE10F2" w:rsidP="00CE10F2">
            <w:pPr>
              <w:jc w:val="right"/>
              <w:rPr>
                <w:rFonts w:asciiTheme="minorBidi" w:hAnsiTheme="minorBidi" w:cstheme="minorBidi"/>
                <w:b/>
                <w:bCs/>
                <w:sz w:val="16"/>
                <w:szCs w:val="16"/>
              </w:rPr>
            </w:pPr>
          </w:p>
        </w:tc>
        <w:tc>
          <w:tcPr>
            <w:tcW w:w="1411"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single" w:sz="4" w:space="0" w:color="auto"/>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r w:rsidRPr="00622CA6">
              <w:rPr>
                <w:rFonts w:asciiTheme="minorBidi" w:hAnsiTheme="minorBidi" w:cstheme="minorBidi"/>
                <w:sz w:val="16"/>
                <w:szCs w:val="16"/>
              </w:rPr>
              <w:t> </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Male</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11.5</w:t>
            </w:r>
          </w:p>
        </w:tc>
        <w:tc>
          <w:tcPr>
            <w:tcW w:w="1412"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7.7</w:t>
            </w:r>
          </w:p>
        </w:tc>
        <w:tc>
          <w:tcPr>
            <w:tcW w:w="1411"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19.2</w:t>
            </w:r>
          </w:p>
        </w:tc>
        <w:tc>
          <w:tcPr>
            <w:tcW w:w="1412"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3.4</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22.5</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Female</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10.8</w:t>
            </w:r>
          </w:p>
        </w:tc>
        <w:tc>
          <w:tcPr>
            <w:tcW w:w="1412"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6.4</w:t>
            </w:r>
          </w:p>
        </w:tc>
        <w:tc>
          <w:tcPr>
            <w:tcW w:w="1411"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17.2</w:t>
            </w:r>
          </w:p>
        </w:tc>
        <w:tc>
          <w:tcPr>
            <w:tcW w:w="1412" w:type="dxa"/>
            <w:tcBorders>
              <w:top w:val="nil"/>
              <w:left w:val="nil"/>
              <w:bottom w:val="nil"/>
              <w:right w:val="nil"/>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3.8</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rsidP="001830CA">
            <w:pPr>
              <w:ind w:right="72"/>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20.9</w:t>
            </w:r>
          </w:p>
        </w:tc>
      </w:tr>
      <w:tr w:rsidR="00CE10F2"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CE10F2" w:rsidRPr="00622CA6" w:rsidRDefault="00CE10F2" w:rsidP="00CE10F2">
            <w:pPr>
              <w:rPr>
                <w:rFonts w:asciiTheme="minorBidi" w:hAnsiTheme="minorBidi" w:cstheme="minorBidi"/>
                <w:b/>
                <w:bCs/>
                <w:sz w:val="16"/>
                <w:szCs w:val="16"/>
              </w:rPr>
            </w:pPr>
            <w:r w:rsidRPr="00622CA6">
              <w:rPr>
                <w:rFonts w:asciiTheme="minorBidi" w:hAnsiTheme="minorBidi" w:cstheme="minorBidi"/>
                <w:b/>
                <w:bCs/>
                <w:sz w:val="16"/>
                <w:szCs w:val="16"/>
              </w:rPr>
              <w:t>Mother's age at birth</w:t>
            </w:r>
          </w:p>
        </w:tc>
        <w:tc>
          <w:tcPr>
            <w:tcW w:w="1411" w:type="dxa"/>
            <w:tcBorders>
              <w:top w:val="nil"/>
              <w:left w:val="single" w:sz="4" w:space="0" w:color="auto"/>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1"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single" w:sz="4" w:space="0" w:color="auto"/>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r w:rsidRPr="00622CA6">
              <w:rPr>
                <w:rFonts w:asciiTheme="minorBidi" w:hAnsiTheme="minorBidi" w:cstheme="minorBidi"/>
                <w:sz w:val="16"/>
                <w:szCs w:val="16"/>
              </w:rPr>
              <w:t> </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Less than 20</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5.9</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6.0</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11.9</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7.9</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19.7</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20-34</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11.2</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7.4</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18.6</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2.7</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21.2</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35-49</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15.3</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5.7</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21.0</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5.4</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26.3</w:t>
            </w:r>
          </w:p>
        </w:tc>
      </w:tr>
      <w:tr w:rsidR="00CE10F2"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CE10F2" w:rsidRPr="00622CA6" w:rsidRDefault="00CE10F2" w:rsidP="00CE10F2">
            <w:pPr>
              <w:rPr>
                <w:rFonts w:asciiTheme="minorBidi" w:hAnsiTheme="minorBidi" w:cstheme="minorBidi"/>
                <w:b/>
                <w:bCs/>
                <w:sz w:val="16"/>
                <w:szCs w:val="16"/>
              </w:rPr>
            </w:pPr>
            <w:r w:rsidRPr="00622CA6">
              <w:rPr>
                <w:rFonts w:asciiTheme="minorBidi" w:hAnsiTheme="minorBidi" w:cstheme="minorBidi"/>
                <w:b/>
                <w:bCs/>
                <w:sz w:val="16"/>
                <w:szCs w:val="16"/>
              </w:rPr>
              <w:t>Birth order</w:t>
            </w:r>
          </w:p>
        </w:tc>
        <w:tc>
          <w:tcPr>
            <w:tcW w:w="1411" w:type="dxa"/>
            <w:tcBorders>
              <w:top w:val="nil"/>
              <w:left w:val="single" w:sz="4" w:space="0" w:color="auto"/>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1"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p>
        </w:tc>
        <w:tc>
          <w:tcPr>
            <w:tcW w:w="1412" w:type="dxa"/>
            <w:tcBorders>
              <w:top w:val="nil"/>
              <w:left w:val="nil"/>
              <w:bottom w:val="nil"/>
              <w:right w:val="single" w:sz="4" w:space="0" w:color="auto"/>
            </w:tcBorders>
            <w:shd w:val="clear" w:color="auto" w:fill="auto"/>
            <w:vAlign w:val="center"/>
            <w:hideMark/>
          </w:tcPr>
          <w:p w:rsidR="00CE10F2" w:rsidRPr="00622CA6" w:rsidRDefault="00CE10F2" w:rsidP="00CE10F2">
            <w:pPr>
              <w:jc w:val="right"/>
              <w:rPr>
                <w:rFonts w:asciiTheme="minorBidi" w:hAnsiTheme="minorBidi" w:cstheme="minorBidi"/>
                <w:sz w:val="16"/>
                <w:szCs w:val="16"/>
              </w:rPr>
            </w:pPr>
            <w:r w:rsidRPr="00622CA6">
              <w:rPr>
                <w:rFonts w:asciiTheme="minorBidi" w:hAnsiTheme="minorBidi" w:cstheme="minorBidi"/>
                <w:sz w:val="16"/>
                <w:szCs w:val="16"/>
              </w:rPr>
              <w:t> </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1</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10.4</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4.5</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14.9</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5.2</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20.0</w:t>
            </w:r>
          </w:p>
        </w:tc>
      </w:tr>
      <w:tr w:rsidR="00622CA6" w:rsidRPr="00622CA6" w:rsidTr="00EF043E">
        <w:trPr>
          <w:trHeight w:val="30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2-3</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10.9</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8.0</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19.0</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4.0</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22.9</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4-6</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10.3</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8.0</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18.3</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2.1</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20.3</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7+</w:t>
            </w:r>
          </w:p>
        </w:tc>
        <w:tc>
          <w:tcPr>
            <w:tcW w:w="1411" w:type="dxa"/>
            <w:tcBorders>
              <w:top w:val="nil"/>
              <w:left w:val="single" w:sz="4" w:space="0" w:color="auto"/>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16.8</w:t>
            </w:r>
          </w:p>
        </w:tc>
        <w:tc>
          <w:tcPr>
            <w:tcW w:w="1412" w:type="dxa"/>
            <w:tcBorders>
              <w:top w:val="nil"/>
              <w:left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6.4</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23.2</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3.5</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26.6</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noWrap/>
            <w:vAlign w:val="center"/>
            <w:hideMark/>
          </w:tcPr>
          <w:p w:rsidR="00622CA6" w:rsidRPr="00622CA6" w:rsidRDefault="00622CA6" w:rsidP="00CE10F2">
            <w:pPr>
              <w:rPr>
                <w:rFonts w:asciiTheme="minorBidi" w:hAnsiTheme="minorBidi" w:cstheme="minorBidi"/>
                <w:b/>
                <w:bCs/>
                <w:sz w:val="16"/>
                <w:szCs w:val="16"/>
              </w:rPr>
            </w:pPr>
            <w:r w:rsidRPr="00622CA6">
              <w:rPr>
                <w:rFonts w:asciiTheme="minorBidi" w:hAnsiTheme="minorBidi" w:cstheme="minorBidi"/>
                <w:b/>
                <w:bCs/>
                <w:sz w:val="16"/>
                <w:szCs w:val="16"/>
              </w:rPr>
              <w:t xml:space="preserve">Previous birth </w:t>
            </w:r>
            <w:proofErr w:type="spellStart"/>
            <w:r w:rsidRPr="00622CA6">
              <w:rPr>
                <w:rFonts w:asciiTheme="minorBidi" w:hAnsiTheme="minorBidi" w:cstheme="minorBidi"/>
                <w:b/>
                <w:bCs/>
                <w:sz w:val="16"/>
                <w:szCs w:val="16"/>
              </w:rPr>
              <w:t>interval</w:t>
            </w:r>
            <w:r w:rsidRPr="00622CA6">
              <w:rPr>
                <w:rFonts w:asciiTheme="minorBidi" w:hAnsiTheme="minorBidi" w:cstheme="minorBidi"/>
                <w:b/>
                <w:bCs/>
                <w:sz w:val="16"/>
                <w:szCs w:val="16"/>
                <w:vertAlign w:val="superscript"/>
              </w:rPr>
              <w:t>b</w:t>
            </w:r>
            <w:proofErr w:type="spellEnd"/>
          </w:p>
        </w:tc>
        <w:tc>
          <w:tcPr>
            <w:tcW w:w="1411" w:type="dxa"/>
            <w:tcBorders>
              <w:top w:val="nil"/>
              <w:left w:val="single" w:sz="4" w:space="0" w:color="auto"/>
              <w:bottom w:val="nil"/>
            </w:tcBorders>
            <w:shd w:val="clear" w:color="auto" w:fill="auto"/>
            <w:vAlign w:val="center"/>
          </w:tcPr>
          <w:p w:rsidR="00622CA6" w:rsidRPr="00622CA6" w:rsidRDefault="00622CA6" w:rsidP="00CE10F2">
            <w:pPr>
              <w:rPr>
                <w:rFonts w:asciiTheme="minorBidi" w:hAnsiTheme="minorBidi" w:cstheme="minorBidi"/>
                <w:b/>
                <w:bCs/>
                <w:sz w:val="16"/>
                <w:szCs w:val="16"/>
              </w:rPr>
            </w:pPr>
          </w:p>
        </w:tc>
        <w:tc>
          <w:tcPr>
            <w:tcW w:w="1412" w:type="dxa"/>
            <w:tcBorders>
              <w:top w:val="nil"/>
              <w:bottom w:val="nil"/>
              <w:right w:val="nil"/>
            </w:tcBorders>
            <w:shd w:val="clear" w:color="auto" w:fill="auto"/>
            <w:vAlign w:val="center"/>
            <w:hideMark/>
          </w:tcPr>
          <w:p w:rsidR="00622CA6" w:rsidRPr="00622CA6" w:rsidRDefault="00622CA6" w:rsidP="00CE10F2">
            <w:pPr>
              <w:jc w:val="right"/>
              <w:rPr>
                <w:rFonts w:asciiTheme="minorBidi" w:hAnsiTheme="minorBidi" w:cstheme="minorBidi"/>
                <w:sz w:val="16"/>
                <w:szCs w:val="16"/>
              </w:rPr>
            </w:pPr>
          </w:p>
        </w:tc>
        <w:tc>
          <w:tcPr>
            <w:tcW w:w="1411" w:type="dxa"/>
            <w:tcBorders>
              <w:top w:val="nil"/>
              <w:left w:val="nil"/>
              <w:bottom w:val="nil"/>
              <w:right w:val="nil"/>
            </w:tcBorders>
            <w:shd w:val="clear" w:color="auto" w:fill="auto"/>
            <w:vAlign w:val="center"/>
            <w:hideMark/>
          </w:tcPr>
          <w:p w:rsidR="00622CA6" w:rsidRPr="00622CA6" w:rsidRDefault="00622CA6" w:rsidP="00CE10F2">
            <w:pPr>
              <w:jc w:val="right"/>
              <w:rPr>
                <w:rFonts w:asciiTheme="minorBidi" w:hAnsiTheme="minorBidi" w:cstheme="minorBidi"/>
                <w:sz w:val="16"/>
                <w:szCs w:val="16"/>
              </w:rPr>
            </w:pPr>
          </w:p>
        </w:tc>
        <w:tc>
          <w:tcPr>
            <w:tcW w:w="1412" w:type="dxa"/>
            <w:tcBorders>
              <w:top w:val="nil"/>
              <w:left w:val="nil"/>
              <w:bottom w:val="nil"/>
              <w:right w:val="nil"/>
            </w:tcBorders>
            <w:shd w:val="clear" w:color="auto" w:fill="auto"/>
            <w:vAlign w:val="center"/>
            <w:hideMark/>
          </w:tcPr>
          <w:p w:rsidR="00622CA6" w:rsidRPr="00622CA6" w:rsidRDefault="00622CA6" w:rsidP="00CE10F2">
            <w:pPr>
              <w:jc w:val="right"/>
              <w:rPr>
                <w:rFonts w:asciiTheme="minorBidi" w:hAnsiTheme="minorBidi" w:cstheme="minorBidi"/>
                <w:sz w:val="16"/>
                <w:szCs w:val="16"/>
              </w:rPr>
            </w:pPr>
          </w:p>
        </w:tc>
        <w:tc>
          <w:tcPr>
            <w:tcW w:w="1412" w:type="dxa"/>
            <w:tcBorders>
              <w:top w:val="nil"/>
              <w:left w:val="nil"/>
              <w:bottom w:val="nil"/>
              <w:right w:val="single" w:sz="4" w:space="0" w:color="auto"/>
            </w:tcBorders>
            <w:shd w:val="clear" w:color="auto" w:fill="auto"/>
            <w:vAlign w:val="center"/>
            <w:hideMark/>
          </w:tcPr>
          <w:p w:rsidR="00622CA6" w:rsidRPr="00622CA6" w:rsidRDefault="00622CA6" w:rsidP="00CE10F2">
            <w:pPr>
              <w:jc w:val="right"/>
              <w:rPr>
                <w:rFonts w:asciiTheme="minorBidi" w:hAnsiTheme="minorBidi" w:cstheme="minorBidi"/>
                <w:sz w:val="16"/>
                <w:szCs w:val="16"/>
              </w:rPr>
            </w:pPr>
            <w:r w:rsidRPr="00622CA6">
              <w:rPr>
                <w:rFonts w:asciiTheme="minorBidi" w:hAnsiTheme="minorBidi" w:cstheme="minorBidi"/>
                <w:sz w:val="16"/>
                <w:szCs w:val="16"/>
              </w:rPr>
              <w:t> </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&lt; 2 years</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12.3</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7.0</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19.4</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4.1</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23.4</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2 years</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8.8</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7.7</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16.5</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2.4</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18.8</w:t>
            </w:r>
          </w:p>
        </w:tc>
      </w:tr>
      <w:tr w:rsidR="00622CA6" w:rsidRPr="00622CA6" w:rsidTr="00EF043E">
        <w:trPr>
          <w:trHeight w:val="255"/>
          <w:jc w:val="center"/>
        </w:trPr>
        <w:tc>
          <w:tcPr>
            <w:tcW w:w="2518" w:type="dxa"/>
            <w:tcBorders>
              <w:top w:val="nil"/>
              <w:left w:val="single" w:sz="4" w:space="0" w:color="auto"/>
              <w:bottom w:val="nil"/>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3 years</w:t>
            </w:r>
          </w:p>
        </w:tc>
        <w:tc>
          <w:tcPr>
            <w:tcW w:w="1411" w:type="dxa"/>
            <w:tcBorders>
              <w:top w:val="nil"/>
              <w:left w:val="single" w:sz="4" w:space="0" w:color="auto"/>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12.3</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6.8</w:t>
            </w:r>
          </w:p>
        </w:tc>
        <w:tc>
          <w:tcPr>
            <w:tcW w:w="1411"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19.1</w:t>
            </w:r>
          </w:p>
        </w:tc>
        <w:tc>
          <w:tcPr>
            <w:tcW w:w="1412" w:type="dxa"/>
            <w:tcBorders>
              <w:top w:val="nil"/>
              <w:left w:val="nil"/>
              <w:bottom w:val="nil"/>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3.6</w:t>
            </w:r>
          </w:p>
        </w:tc>
        <w:tc>
          <w:tcPr>
            <w:tcW w:w="1412" w:type="dxa"/>
            <w:tcBorders>
              <w:top w:val="nil"/>
              <w:left w:val="nil"/>
              <w:bottom w:val="nil"/>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22.6</w:t>
            </w:r>
          </w:p>
        </w:tc>
      </w:tr>
      <w:tr w:rsidR="00622CA6" w:rsidRPr="00622CA6" w:rsidTr="00EF043E">
        <w:trPr>
          <w:trHeight w:val="255"/>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rsidR="00622CA6" w:rsidRPr="00622CA6" w:rsidRDefault="00622CA6" w:rsidP="00CE10F2">
            <w:pPr>
              <w:ind w:firstLineChars="100" w:firstLine="160"/>
              <w:rPr>
                <w:rFonts w:asciiTheme="minorBidi" w:hAnsiTheme="minorBidi" w:cstheme="minorBidi"/>
                <w:sz w:val="16"/>
                <w:szCs w:val="16"/>
              </w:rPr>
            </w:pPr>
            <w:r w:rsidRPr="00622CA6">
              <w:rPr>
                <w:rFonts w:asciiTheme="minorBidi" w:hAnsiTheme="minorBidi" w:cstheme="minorBidi"/>
                <w:sz w:val="16"/>
                <w:szCs w:val="16"/>
              </w:rPr>
              <w:t>4+ years</w:t>
            </w:r>
          </w:p>
        </w:tc>
        <w:tc>
          <w:tcPr>
            <w:tcW w:w="1411" w:type="dxa"/>
            <w:tcBorders>
              <w:top w:val="nil"/>
              <w:left w:val="single" w:sz="4" w:space="0" w:color="auto"/>
              <w:bottom w:val="single" w:sz="4" w:space="0" w:color="auto"/>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9.8</w:t>
            </w:r>
          </w:p>
        </w:tc>
        <w:tc>
          <w:tcPr>
            <w:tcW w:w="1412" w:type="dxa"/>
            <w:tcBorders>
              <w:top w:val="nil"/>
              <w:left w:val="nil"/>
              <w:bottom w:val="single" w:sz="4" w:space="0" w:color="auto"/>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6.4</w:t>
            </w:r>
          </w:p>
        </w:tc>
        <w:tc>
          <w:tcPr>
            <w:tcW w:w="1411" w:type="dxa"/>
            <w:tcBorders>
              <w:top w:val="nil"/>
              <w:left w:val="nil"/>
              <w:bottom w:val="single" w:sz="4" w:space="0" w:color="auto"/>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16.2</w:t>
            </w:r>
          </w:p>
        </w:tc>
        <w:tc>
          <w:tcPr>
            <w:tcW w:w="1412" w:type="dxa"/>
            <w:tcBorders>
              <w:top w:val="nil"/>
              <w:left w:val="nil"/>
              <w:bottom w:val="single" w:sz="4" w:space="0" w:color="auto"/>
              <w:right w:val="nil"/>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3.6</w:t>
            </w:r>
          </w:p>
        </w:tc>
        <w:tc>
          <w:tcPr>
            <w:tcW w:w="1412" w:type="dxa"/>
            <w:tcBorders>
              <w:top w:val="nil"/>
              <w:left w:val="nil"/>
              <w:bottom w:val="single" w:sz="4" w:space="0" w:color="auto"/>
              <w:right w:val="single" w:sz="4" w:space="0" w:color="auto"/>
            </w:tcBorders>
            <w:shd w:val="clear" w:color="auto" w:fill="auto"/>
            <w:vAlign w:val="center"/>
            <w:hideMark/>
          </w:tcPr>
          <w:p w:rsidR="00622CA6" w:rsidRPr="00622CA6" w:rsidRDefault="00622CA6">
            <w:pPr>
              <w:jc w:val="right"/>
              <w:rPr>
                <w:rFonts w:asciiTheme="minorBidi" w:hAnsiTheme="minorBidi" w:cstheme="minorBidi"/>
                <w:color w:val="000000"/>
                <w:sz w:val="16"/>
                <w:szCs w:val="16"/>
              </w:rPr>
            </w:pPr>
            <w:r w:rsidRPr="00622CA6">
              <w:rPr>
                <w:rFonts w:asciiTheme="minorBidi" w:hAnsiTheme="minorBidi" w:cstheme="minorBidi"/>
                <w:color w:val="000000"/>
                <w:sz w:val="16"/>
                <w:szCs w:val="16"/>
              </w:rPr>
              <w:t>19.7</w:t>
            </w:r>
          </w:p>
        </w:tc>
      </w:tr>
      <w:tr w:rsidR="00CE10F2" w:rsidRPr="00622CA6" w:rsidTr="00622CA6">
        <w:trPr>
          <w:trHeight w:val="255"/>
          <w:jc w:val="center"/>
        </w:trPr>
        <w:tc>
          <w:tcPr>
            <w:tcW w:w="9576" w:type="dxa"/>
            <w:gridSpan w:val="6"/>
            <w:tcBorders>
              <w:top w:val="single" w:sz="4" w:space="0" w:color="auto"/>
              <w:bottom w:val="nil"/>
            </w:tcBorders>
            <w:shd w:val="clear" w:color="auto" w:fill="auto"/>
            <w:noWrap/>
            <w:vAlign w:val="center"/>
            <w:hideMark/>
          </w:tcPr>
          <w:p w:rsidR="00CE10F2" w:rsidRPr="00622CA6" w:rsidRDefault="00CE10F2" w:rsidP="00676834">
            <w:pPr>
              <w:rPr>
                <w:rFonts w:asciiTheme="minorBidi" w:hAnsiTheme="minorBidi" w:cstheme="minorBidi"/>
                <w:sz w:val="16"/>
                <w:szCs w:val="16"/>
              </w:rPr>
            </w:pPr>
            <w:r w:rsidRPr="00622CA6">
              <w:rPr>
                <w:rFonts w:asciiTheme="minorBidi" w:hAnsiTheme="minorBidi" w:cstheme="minorBidi"/>
                <w:sz w:val="16"/>
                <w:szCs w:val="16"/>
                <w:vertAlign w:val="superscript"/>
              </w:rPr>
              <w:t>1</w:t>
            </w:r>
            <w:r w:rsidRPr="00622CA6">
              <w:rPr>
                <w:rFonts w:asciiTheme="minorBidi" w:hAnsiTheme="minorBidi" w:cstheme="minorBidi"/>
                <w:sz w:val="16"/>
                <w:szCs w:val="16"/>
              </w:rPr>
              <w:t xml:space="preserve"> MICS indicator 1.1 - Neonatal mortality rate</w:t>
            </w:r>
          </w:p>
        </w:tc>
      </w:tr>
      <w:tr w:rsidR="00CE10F2" w:rsidRPr="00622CA6" w:rsidTr="00622CA6">
        <w:trPr>
          <w:trHeight w:val="255"/>
          <w:jc w:val="center"/>
        </w:trPr>
        <w:tc>
          <w:tcPr>
            <w:tcW w:w="9576" w:type="dxa"/>
            <w:gridSpan w:val="6"/>
            <w:tcBorders>
              <w:top w:val="nil"/>
              <w:bottom w:val="nil"/>
            </w:tcBorders>
            <w:shd w:val="clear" w:color="auto" w:fill="auto"/>
            <w:noWrap/>
            <w:vAlign w:val="center"/>
            <w:hideMark/>
          </w:tcPr>
          <w:p w:rsidR="00CE10F2" w:rsidRPr="00622CA6" w:rsidRDefault="00CE10F2" w:rsidP="00676834">
            <w:pPr>
              <w:rPr>
                <w:rFonts w:asciiTheme="minorBidi" w:hAnsiTheme="minorBidi" w:cstheme="minorBidi"/>
                <w:sz w:val="16"/>
                <w:szCs w:val="16"/>
              </w:rPr>
            </w:pPr>
            <w:r w:rsidRPr="00622CA6">
              <w:rPr>
                <w:rFonts w:asciiTheme="minorBidi" w:hAnsiTheme="minorBidi" w:cstheme="minorBidi"/>
                <w:sz w:val="16"/>
                <w:szCs w:val="16"/>
                <w:vertAlign w:val="superscript"/>
              </w:rPr>
              <w:t>2</w:t>
            </w:r>
            <w:r w:rsidRPr="00622CA6">
              <w:rPr>
                <w:rFonts w:asciiTheme="minorBidi" w:hAnsiTheme="minorBidi" w:cstheme="minorBidi"/>
                <w:sz w:val="16"/>
                <w:szCs w:val="16"/>
              </w:rPr>
              <w:t xml:space="preserve"> MICS indicator 1.3 - Post-neonatal mortality rate</w:t>
            </w:r>
          </w:p>
        </w:tc>
      </w:tr>
      <w:tr w:rsidR="00CE10F2" w:rsidRPr="00622CA6" w:rsidTr="00622CA6">
        <w:trPr>
          <w:trHeight w:val="255"/>
          <w:jc w:val="center"/>
        </w:trPr>
        <w:tc>
          <w:tcPr>
            <w:tcW w:w="9576" w:type="dxa"/>
            <w:gridSpan w:val="6"/>
            <w:tcBorders>
              <w:top w:val="nil"/>
              <w:bottom w:val="nil"/>
            </w:tcBorders>
            <w:shd w:val="clear" w:color="auto" w:fill="auto"/>
            <w:noWrap/>
            <w:vAlign w:val="center"/>
            <w:hideMark/>
          </w:tcPr>
          <w:p w:rsidR="00CE10F2" w:rsidRPr="00622CA6" w:rsidRDefault="00CE10F2" w:rsidP="00676834">
            <w:pPr>
              <w:rPr>
                <w:rFonts w:asciiTheme="minorBidi" w:hAnsiTheme="minorBidi" w:cstheme="minorBidi"/>
                <w:sz w:val="16"/>
                <w:szCs w:val="16"/>
              </w:rPr>
            </w:pPr>
            <w:r w:rsidRPr="00622CA6">
              <w:rPr>
                <w:rFonts w:asciiTheme="minorBidi" w:hAnsiTheme="minorBidi" w:cstheme="minorBidi"/>
                <w:sz w:val="16"/>
                <w:szCs w:val="16"/>
                <w:vertAlign w:val="superscript"/>
              </w:rPr>
              <w:t>3</w:t>
            </w:r>
            <w:r w:rsidRPr="00622CA6">
              <w:rPr>
                <w:rFonts w:asciiTheme="minorBidi" w:hAnsiTheme="minorBidi" w:cstheme="minorBidi"/>
                <w:sz w:val="16"/>
                <w:szCs w:val="16"/>
              </w:rPr>
              <w:t xml:space="preserve"> MICS indicator 1.2; MDG indicator 4.2 - Infant mortality rate</w:t>
            </w:r>
          </w:p>
        </w:tc>
      </w:tr>
      <w:tr w:rsidR="00CE10F2" w:rsidRPr="00622CA6" w:rsidTr="00622CA6">
        <w:trPr>
          <w:trHeight w:val="255"/>
          <w:jc w:val="center"/>
        </w:trPr>
        <w:tc>
          <w:tcPr>
            <w:tcW w:w="9576" w:type="dxa"/>
            <w:gridSpan w:val="6"/>
            <w:tcBorders>
              <w:top w:val="nil"/>
              <w:bottom w:val="nil"/>
            </w:tcBorders>
            <w:shd w:val="clear" w:color="auto" w:fill="auto"/>
            <w:noWrap/>
            <w:vAlign w:val="center"/>
            <w:hideMark/>
          </w:tcPr>
          <w:p w:rsidR="00CE10F2" w:rsidRPr="00622CA6" w:rsidRDefault="00CE10F2" w:rsidP="00676834">
            <w:pPr>
              <w:rPr>
                <w:rFonts w:asciiTheme="minorBidi" w:hAnsiTheme="minorBidi" w:cstheme="minorBidi"/>
                <w:sz w:val="16"/>
                <w:szCs w:val="16"/>
              </w:rPr>
            </w:pPr>
            <w:r w:rsidRPr="00622CA6">
              <w:rPr>
                <w:rFonts w:asciiTheme="minorBidi" w:hAnsiTheme="minorBidi" w:cstheme="minorBidi"/>
                <w:sz w:val="16"/>
                <w:szCs w:val="16"/>
                <w:vertAlign w:val="superscript"/>
              </w:rPr>
              <w:t>4</w:t>
            </w:r>
            <w:r w:rsidRPr="00622CA6">
              <w:rPr>
                <w:rFonts w:asciiTheme="minorBidi" w:hAnsiTheme="minorBidi" w:cstheme="minorBidi"/>
                <w:sz w:val="16"/>
                <w:szCs w:val="16"/>
              </w:rPr>
              <w:t xml:space="preserve"> MICS indicator 1.4 - Child mortality rate</w:t>
            </w:r>
          </w:p>
        </w:tc>
      </w:tr>
      <w:tr w:rsidR="00CE10F2" w:rsidRPr="00622CA6" w:rsidTr="00622CA6">
        <w:trPr>
          <w:trHeight w:val="255"/>
          <w:jc w:val="center"/>
        </w:trPr>
        <w:tc>
          <w:tcPr>
            <w:tcW w:w="9576" w:type="dxa"/>
            <w:gridSpan w:val="6"/>
            <w:tcBorders>
              <w:top w:val="nil"/>
              <w:bottom w:val="nil"/>
            </w:tcBorders>
            <w:shd w:val="clear" w:color="auto" w:fill="auto"/>
            <w:noWrap/>
            <w:vAlign w:val="center"/>
            <w:hideMark/>
          </w:tcPr>
          <w:p w:rsidR="00CE10F2" w:rsidRPr="00622CA6" w:rsidRDefault="00CE10F2" w:rsidP="00676834">
            <w:pPr>
              <w:rPr>
                <w:rFonts w:asciiTheme="minorBidi" w:hAnsiTheme="minorBidi" w:cstheme="minorBidi"/>
                <w:sz w:val="16"/>
                <w:szCs w:val="16"/>
              </w:rPr>
            </w:pPr>
            <w:r w:rsidRPr="00622CA6">
              <w:rPr>
                <w:rFonts w:asciiTheme="minorBidi" w:hAnsiTheme="minorBidi" w:cstheme="minorBidi"/>
                <w:sz w:val="16"/>
                <w:szCs w:val="16"/>
                <w:vertAlign w:val="superscript"/>
              </w:rPr>
              <w:t>5</w:t>
            </w:r>
            <w:r w:rsidRPr="00622CA6">
              <w:rPr>
                <w:rFonts w:asciiTheme="minorBidi" w:hAnsiTheme="minorBidi" w:cstheme="minorBidi"/>
                <w:sz w:val="16"/>
                <w:szCs w:val="16"/>
              </w:rPr>
              <w:t xml:space="preserve"> MICS indicator 1.5; MDG indicator 4.1 - Under-five mortality rate</w:t>
            </w:r>
          </w:p>
        </w:tc>
      </w:tr>
      <w:tr w:rsidR="00CE10F2" w:rsidRPr="00622CA6" w:rsidTr="00622CA6">
        <w:trPr>
          <w:trHeight w:val="255"/>
          <w:jc w:val="center"/>
        </w:trPr>
        <w:tc>
          <w:tcPr>
            <w:tcW w:w="9576" w:type="dxa"/>
            <w:gridSpan w:val="6"/>
            <w:tcBorders>
              <w:top w:val="nil"/>
              <w:bottom w:val="nil"/>
            </w:tcBorders>
            <w:shd w:val="clear" w:color="auto" w:fill="auto"/>
            <w:noWrap/>
            <w:vAlign w:val="center"/>
            <w:hideMark/>
          </w:tcPr>
          <w:p w:rsidR="00CE10F2" w:rsidRPr="00622CA6" w:rsidRDefault="00CE10F2" w:rsidP="008C3E08">
            <w:pPr>
              <w:rPr>
                <w:rFonts w:asciiTheme="minorBidi" w:hAnsiTheme="minorBidi" w:cstheme="minorBidi"/>
                <w:sz w:val="16"/>
                <w:szCs w:val="16"/>
              </w:rPr>
            </w:pPr>
            <w:r w:rsidRPr="00622CA6">
              <w:rPr>
                <w:rFonts w:asciiTheme="minorBidi" w:hAnsiTheme="minorBidi" w:cstheme="minorBidi"/>
                <w:sz w:val="16"/>
                <w:szCs w:val="16"/>
                <w:vertAlign w:val="superscript"/>
              </w:rPr>
              <w:t>a</w:t>
            </w:r>
            <w:r w:rsidRPr="00622CA6">
              <w:rPr>
                <w:rFonts w:asciiTheme="minorBidi" w:hAnsiTheme="minorBidi" w:cstheme="minorBidi"/>
                <w:sz w:val="16"/>
                <w:szCs w:val="16"/>
              </w:rPr>
              <w:t xml:space="preserve"> Post-n</w:t>
            </w:r>
            <w:r w:rsidR="008C3E08">
              <w:rPr>
                <w:rFonts w:asciiTheme="minorBidi" w:hAnsiTheme="minorBidi" w:cstheme="minorBidi"/>
                <w:sz w:val="16"/>
                <w:szCs w:val="16"/>
              </w:rPr>
              <w:t>e</w:t>
            </w:r>
            <w:r w:rsidRPr="00622CA6">
              <w:rPr>
                <w:rFonts w:asciiTheme="minorBidi" w:hAnsiTheme="minorBidi" w:cstheme="minorBidi"/>
                <w:sz w:val="16"/>
                <w:szCs w:val="16"/>
              </w:rPr>
              <w:t>onatal mortality rates are computed as the difference between the infant and neonatal mortality rates</w:t>
            </w:r>
          </w:p>
        </w:tc>
      </w:tr>
      <w:tr w:rsidR="00CE10F2" w:rsidRPr="00622CA6" w:rsidTr="00622CA6">
        <w:trPr>
          <w:trHeight w:val="255"/>
          <w:jc w:val="center"/>
        </w:trPr>
        <w:tc>
          <w:tcPr>
            <w:tcW w:w="9576" w:type="dxa"/>
            <w:gridSpan w:val="6"/>
            <w:tcBorders>
              <w:top w:val="nil"/>
            </w:tcBorders>
            <w:shd w:val="clear" w:color="auto" w:fill="auto"/>
            <w:vAlign w:val="center"/>
            <w:hideMark/>
          </w:tcPr>
          <w:p w:rsidR="00CE10F2" w:rsidRPr="00622CA6" w:rsidRDefault="00CE10F2" w:rsidP="00676834">
            <w:pPr>
              <w:rPr>
                <w:rFonts w:asciiTheme="minorBidi" w:hAnsiTheme="minorBidi" w:cstheme="minorBidi"/>
                <w:sz w:val="16"/>
                <w:szCs w:val="16"/>
              </w:rPr>
            </w:pPr>
            <w:r w:rsidRPr="00622CA6">
              <w:rPr>
                <w:rFonts w:asciiTheme="minorBidi" w:hAnsiTheme="minorBidi" w:cstheme="minorBidi"/>
                <w:sz w:val="16"/>
                <w:szCs w:val="16"/>
                <w:vertAlign w:val="superscript"/>
              </w:rPr>
              <w:t>b</w:t>
            </w:r>
            <w:r w:rsidRPr="00622CA6">
              <w:rPr>
                <w:rFonts w:asciiTheme="minorBidi" w:hAnsiTheme="minorBidi" w:cstheme="minorBidi"/>
                <w:sz w:val="16"/>
                <w:szCs w:val="16"/>
              </w:rPr>
              <w:t xml:space="preserve"> Excludes first order births</w:t>
            </w:r>
          </w:p>
        </w:tc>
      </w:tr>
    </w:tbl>
    <w:p w:rsidR="00CB54EF" w:rsidRDefault="00CB54EF" w:rsidP="00CE10F2">
      <w:pPr>
        <w:spacing w:line="264" w:lineRule="auto"/>
        <w:jc w:val="center"/>
        <w:rPr>
          <w:rFonts w:ascii="Calibri" w:hAnsi="Calibri"/>
          <w:color w:val="FF0000"/>
          <w:szCs w:val="22"/>
        </w:rPr>
      </w:pPr>
    </w:p>
    <w:p w:rsidR="00CB54EF" w:rsidRDefault="00CB54EF" w:rsidP="00CB54EF">
      <w:pPr>
        <w:pStyle w:val="BodyText"/>
        <w:tabs>
          <w:tab w:val="left" w:pos="720"/>
        </w:tabs>
        <w:spacing w:line="264" w:lineRule="auto"/>
        <w:rPr>
          <w:rFonts w:ascii="Calibri" w:hAnsi="Calibri"/>
          <w:szCs w:val="22"/>
        </w:rPr>
      </w:pPr>
    </w:p>
    <w:p w:rsidR="00500B3C" w:rsidRDefault="00500B3C" w:rsidP="00A01911">
      <w:pPr>
        <w:pStyle w:val="BodyText"/>
        <w:widowControl/>
        <w:tabs>
          <w:tab w:val="left" w:pos="720"/>
        </w:tabs>
        <w:spacing w:line="264" w:lineRule="auto"/>
        <w:rPr>
          <w:rFonts w:asciiTheme="minorHAnsi" w:hAnsiTheme="minorHAnsi"/>
          <w:b/>
          <w:spacing w:val="30"/>
          <w:sz w:val="28"/>
          <w:szCs w:val="28"/>
        </w:rPr>
      </w:pPr>
    </w:p>
    <w:p w:rsidR="00004501" w:rsidRDefault="00004501" w:rsidP="00A01911">
      <w:pPr>
        <w:pStyle w:val="BodyText"/>
        <w:widowControl/>
        <w:tabs>
          <w:tab w:val="left" w:pos="720"/>
        </w:tabs>
        <w:spacing w:line="264" w:lineRule="auto"/>
        <w:rPr>
          <w:rFonts w:asciiTheme="minorHAnsi" w:hAnsiTheme="minorHAnsi"/>
          <w:b/>
          <w:spacing w:val="30"/>
          <w:sz w:val="28"/>
          <w:szCs w:val="28"/>
        </w:rPr>
      </w:pPr>
    </w:p>
    <w:p w:rsidR="00004501" w:rsidRDefault="00004501" w:rsidP="00A01911">
      <w:pPr>
        <w:pStyle w:val="BodyText"/>
        <w:widowControl/>
        <w:tabs>
          <w:tab w:val="left" w:pos="720"/>
        </w:tabs>
        <w:spacing w:line="264" w:lineRule="auto"/>
        <w:rPr>
          <w:rFonts w:asciiTheme="minorHAnsi" w:hAnsiTheme="minorHAnsi"/>
          <w:b/>
          <w:spacing w:val="30"/>
          <w:sz w:val="28"/>
          <w:szCs w:val="28"/>
        </w:rPr>
      </w:pPr>
    </w:p>
    <w:p w:rsidR="00004501" w:rsidRDefault="00004501" w:rsidP="00A01911">
      <w:pPr>
        <w:pStyle w:val="BodyText"/>
        <w:widowControl/>
        <w:tabs>
          <w:tab w:val="left" w:pos="720"/>
        </w:tabs>
        <w:spacing w:line="264" w:lineRule="auto"/>
        <w:rPr>
          <w:rFonts w:asciiTheme="minorHAnsi" w:hAnsiTheme="minorHAnsi"/>
          <w:b/>
          <w:spacing w:val="30"/>
          <w:sz w:val="28"/>
          <w:szCs w:val="28"/>
        </w:rPr>
      </w:pPr>
    </w:p>
    <w:p w:rsidR="00004501" w:rsidRDefault="00004501" w:rsidP="00A01911">
      <w:pPr>
        <w:pStyle w:val="BodyText"/>
        <w:widowControl/>
        <w:tabs>
          <w:tab w:val="left" w:pos="720"/>
        </w:tabs>
        <w:spacing w:line="264" w:lineRule="auto"/>
        <w:rPr>
          <w:rFonts w:asciiTheme="minorHAnsi" w:hAnsiTheme="minorHAnsi"/>
          <w:b/>
          <w:spacing w:val="30"/>
          <w:sz w:val="28"/>
          <w:szCs w:val="28"/>
        </w:rPr>
      </w:pPr>
    </w:p>
    <w:p w:rsidR="00004501" w:rsidRDefault="00004501" w:rsidP="00A01911">
      <w:pPr>
        <w:pStyle w:val="BodyText"/>
        <w:widowControl/>
        <w:tabs>
          <w:tab w:val="left" w:pos="720"/>
        </w:tabs>
        <w:spacing w:line="264" w:lineRule="auto"/>
        <w:rPr>
          <w:rFonts w:asciiTheme="minorHAnsi" w:hAnsiTheme="minorHAnsi"/>
          <w:b/>
          <w:spacing w:val="30"/>
          <w:sz w:val="28"/>
          <w:szCs w:val="28"/>
        </w:rPr>
      </w:pPr>
    </w:p>
    <w:p w:rsidR="00500B3C" w:rsidRDefault="00500B3C" w:rsidP="00A01911">
      <w:pPr>
        <w:pStyle w:val="BodyText"/>
        <w:widowControl/>
        <w:tabs>
          <w:tab w:val="left" w:pos="720"/>
        </w:tabs>
        <w:spacing w:line="264" w:lineRule="auto"/>
        <w:rPr>
          <w:rFonts w:asciiTheme="minorHAnsi" w:hAnsiTheme="minorHAnsi"/>
          <w:b/>
          <w:spacing w:val="30"/>
          <w:sz w:val="28"/>
          <w:szCs w:val="28"/>
        </w:rPr>
      </w:pPr>
    </w:p>
    <w:p w:rsidR="00150FDA" w:rsidRDefault="00150FDA" w:rsidP="00A01911">
      <w:pPr>
        <w:pStyle w:val="BodyText"/>
        <w:widowControl/>
        <w:tabs>
          <w:tab w:val="left" w:pos="720"/>
        </w:tabs>
        <w:spacing w:line="264" w:lineRule="auto"/>
        <w:rPr>
          <w:rFonts w:asciiTheme="minorHAnsi" w:hAnsiTheme="minorHAnsi"/>
          <w:b/>
          <w:spacing w:val="30"/>
          <w:sz w:val="28"/>
          <w:szCs w:val="28"/>
        </w:rPr>
      </w:pPr>
    </w:p>
    <w:p w:rsidR="00BE52C3" w:rsidRDefault="00BE52C3" w:rsidP="00A01911">
      <w:pPr>
        <w:pStyle w:val="BodyText"/>
        <w:widowControl/>
        <w:tabs>
          <w:tab w:val="left" w:pos="720"/>
        </w:tabs>
        <w:spacing w:line="264" w:lineRule="auto"/>
        <w:rPr>
          <w:rFonts w:asciiTheme="minorHAnsi" w:hAnsiTheme="minorHAnsi"/>
          <w:b/>
          <w:spacing w:val="30"/>
          <w:sz w:val="28"/>
          <w:szCs w:val="28"/>
        </w:rPr>
      </w:pPr>
    </w:p>
    <w:p w:rsidR="00BE52C3" w:rsidRDefault="00BE52C3" w:rsidP="00A01911">
      <w:pPr>
        <w:pStyle w:val="BodyText"/>
        <w:widowControl/>
        <w:tabs>
          <w:tab w:val="left" w:pos="720"/>
        </w:tabs>
        <w:spacing w:line="264" w:lineRule="auto"/>
        <w:rPr>
          <w:rFonts w:asciiTheme="minorHAnsi" w:hAnsiTheme="minorHAnsi"/>
          <w:b/>
          <w:spacing w:val="30"/>
          <w:sz w:val="28"/>
          <w:szCs w:val="28"/>
        </w:rPr>
      </w:pPr>
    </w:p>
    <w:p w:rsidR="00BE52C3" w:rsidRDefault="00BE52C3" w:rsidP="00A01911">
      <w:pPr>
        <w:pStyle w:val="BodyText"/>
        <w:widowControl/>
        <w:tabs>
          <w:tab w:val="left" w:pos="720"/>
        </w:tabs>
        <w:spacing w:line="264" w:lineRule="auto"/>
        <w:rPr>
          <w:rFonts w:asciiTheme="minorHAnsi" w:hAnsiTheme="minorHAnsi"/>
          <w:b/>
          <w:spacing w:val="30"/>
          <w:sz w:val="28"/>
          <w:szCs w:val="28"/>
        </w:rPr>
      </w:pPr>
    </w:p>
    <w:p w:rsidR="00BE52C3" w:rsidRDefault="00BE52C3" w:rsidP="00A01911">
      <w:pPr>
        <w:pStyle w:val="BodyText"/>
        <w:widowControl/>
        <w:tabs>
          <w:tab w:val="left" w:pos="720"/>
        </w:tabs>
        <w:spacing w:line="264" w:lineRule="auto"/>
        <w:rPr>
          <w:rFonts w:asciiTheme="minorHAnsi" w:hAnsiTheme="minorHAnsi"/>
          <w:b/>
          <w:spacing w:val="30"/>
          <w:sz w:val="28"/>
          <w:szCs w:val="28"/>
        </w:rPr>
      </w:pPr>
    </w:p>
    <w:p w:rsidR="00150FDA" w:rsidRDefault="00150FDA" w:rsidP="00A01911">
      <w:pPr>
        <w:pStyle w:val="BodyText"/>
        <w:widowControl/>
        <w:tabs>
          <w:tab w:val="left" w:pos="720"/>
        </w:tabs>
        <w:spacing w:line="264" w:lineRule="auto"/>
        <w:rPr>
          <w:rFonts w:asciiTheme="minorHAnsi" w:hAnsiTheme="minorHAnsi"/>
          <w:b/>
          <w:spacing w:val="30"/>
          <w:sz w:val="28"/>
          <w:szCs w:val="28"/>
        </w:rPr>
      </w:pPr>
    </w:p>
    <w:p w:rsidR="00A01911" w:rsidRPr="002D1451" w:rsidRDefault="00A01911" w:rsidP="002D1451">
      <w:pPr>
        <w:pStyle w:val="BodyText"/>
        <w:widowControl/>
        <w:tabs>
          <w:tab w:val="left" w:pos="720"/>
        </w:tabs>
        <w:spacing w:line="264" w:lineRule="auto"/>
        <w:rPr>
          <w:rFonts w:ascii="Calibri" w:hAnsi="Calibri"/>
          <w:szCs w:val="22"/>
          <w:lang w:val="en-GB"/>
        </w:rPr>
      </w:pPr>
      <w:r w:rsidRPr="002D1451">
        <w:rPr>
          <w:rFonts w:asciiTheme="minorHAnsi" w:hAnsiTheme="minorHAnsi"/>
          <w:b/>
          <w:spacing w:val="30"/>
          <w:szCs w:val="22"/>
        </w:rPr>
        <w:lastRenderedPageBreak/>
        <w:t xml:space="preserve">Figure CM.2: Under-5 mortality rates by area and region, </w:t>
      </w:r>
      <w:r w:rsidR="002D1451" w:rsidRPr="002D1451">
        <w:rPr>
          <w:rFonts w:asciiTheme="minorHAnsi" w:hAnsiTheme="minorHAnsi"/>
          <w:b/>
          <w:spacing w:val="30"/>
          <w:szCs w:val="22"/>
          <w:lang w:val="en-GB"/>
        </w:rPr>
        <w:t>Palestine</w:t>
      </w:r>
      <w:r w:rsidRPr="002D1451">
        <w:rPr>
          <w:rFonts w:asciiTheme="minorHAnsi" w:hAnsiTheme="minorHAnsi"/>
          <w:b/>
          <w:spacing w:val="30"/>
          <w:szCs w:val="22"/>
        </w:rPr>
        <w:t xml:space="preserve">, </w:t>
      </w:r>
      <w:r w:rsidR="00ED390B" w:rsidRPr="002D1451">
        <w:rPr>
          <w:rFonts w:asciiTheme="minorHAnsi" w:hAnsiTheme="minorHAnsi"/>
          <w:b/>
          <w:spacing w:val="30"/>
          <w:szCs w:val="22"/>
        </w:rPr>
        <w:t>2014</w:t>
      </w:r>
    </w:p>
    <w:p w:rsidR="00036FE5" w:rsidRDefault="00036FE5" w:rsidP="00CB54EF">
      <w:pPr>
        <w:spacing w:line="264" w:lineRule="auto"/>
        <w:rPr>
          <w:rFonts w:ascii="Calibri" w:hAnsi="Calibri"/>
          <w:noProof/>
          <w:color w:val="FF0000"/>
          <w:szCs w:val="22"/>
        </w:rPr>
      </w:pPr>
    </w:p>
    <w:p w:rsidR="00A01911" w:rsidRPr="00A01911" w:rsidRDefault="00036FE5" w:rsidP="00CB54EF">
      <w:pPr>
        <w:spacing w:line="264" w:lineRule="auto"/>
        <w:rPr>
          <w:rFonts w:ascii="Calibri" w:hAnsi="Calibri"/>
          <w:color w:val="FF0000"/>
          <w:szCs w:val="22"/>
          <w:lang w:val="en-GB"/>
        </w:rPr>
      </w:pPr>
      <w:r w:rsidRPr="00036FE5">
        <w:rPr>
          <w:rFonts w:ascii="Calibri" w:hAnsi="Calibri"/>
          <w:noProof/>
          <w:color w:val="FF0000"/>
          <w:szCs w:val="22"/>
        </w:rPr>
        <w:drawing>
          <wp:inline distT="0" distB="0" distL="0" distR="0">
            <wp:extent cx="5486400" cy="355282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A3523C" w:rsidRPr="00A3523C">
        <w:rPr>
          <w:rFonts w:ascii="Calibri" w:hAnsi="Calibri"/>
          <w:noProof/>
          <w:color w:val="FF0000"/>
          <w:szCs w:val="22"/>
        </w:rPr>
        <w:t xml:space="preserve"> </w:t>
      </w:r>
    </w:p>
    <w:p w:rsidR="00A01911" w:rsidRDefault="00A01911" w:rsidP="00CB54EF">
      <w:pPr>
        <w:spacing w:line="264" w:lineRule="auto"/>
        <w:rPr>
          <w:rFonts w:ascii="Calibri" w:hAnsi="Calibri"/>
          <w:color w:val="FF0000"/>
          <w:szCs w:val="22"/>
        </w:rPr>
      </w:pPr>
    </w:p>
    <w:p w:rsidR="003F02BE" w:rsidRPr="005D7652" w:rsidRDefault="003F02BE" w:rsidP="00846D4A">
      <w:pPr>
        <w:spacing w:line="264" w:lineRule="auto"/>
        <w:jc w:val="both"/>
        <w:rPr>
          <w:rFonts w:ascii="Calibri" w:hAnsi="Calibri"/>
        </w:rPr>
      </w:pPr>
      <w:r w:rsidRPr="005D7652">
        <w:rPr>
          <w:rFonts w:ascii="Calibri" w:hAnsi="Calibri"/>
          <w:lang w:val="en-GB"/>
        </w:rPr>
        <w:t>Figure CM.3 compares the findings of Palestinian MICS on under-5 mortality rates with those from other data sources. Palestinian MICS</w:t>
      </w:r>
      <w:r w:rsidR="005A36EC">
        <w:rPr>
          <w:rFonts w:ascii="Calibri" w:hAnsi="Calibri"/>
          <w:lang w:val="en-GB"/>
        </w:rPr>
        <w:t xml:space="preserve"> 2014</w:t>
      </w:r>
      <w:r w:rsidRPr="005D7652">
        <w:rPr>
          <w:rFonts w:ascii="Calibri" w:hAnsi="Calibri"/>
          <w:lang w:val="en-GB"/>
        </w:rPr>
        <w:t xml:space="preserve"> findings are obtained from Table CM.1. </w:t>
      </w:r>
      <w:r w:rsidRPr="005D7652">
        <w:rPr>
          <w:rFonts w:ascii="Calibri" w:hAnsi="Calibri"/>
        </w:rPr>
        <w:t>The MICS estimates indicate a decline in mortality during the</w:t>
      </w:r>
      <w:r w:rsidR="006C23AC" w:rsidRPr="005D7652">
        <w:rPr>
          <w:rFonts w:ascii="Calibri" w:hAnsi="Calibri"/>
        </w:rPr>
        <w:t xml:space="preserve"> </w:t>
      </w:r>
      <w:r w:rsidRPr="005D7652">
        <w:rPr>
          <w:rFonts w:ascii="Calibri" w:hAnsi="Calibri"/>
        </w:rPr>
        <w:t xml:space="preserve">last 20 years. The most recent U5MR estimate from MICS is about </w:t>
      </w:r>
      <w:r w:rsidR="006C23AC" w:rsidRPr="005D7652">
        <w:rPr>
          <w:rFonts w:ascii="Calibri" w:hAnsi="Calibri"/>
        </w:rPr>
        <w:t>22</w:t>
      </w:r>
      <w:r w:rsidR="005A36EC">
        <w:rPr>
          <w:rFonts w:ascii="Calibri" w:hAnsi="Calibri"/>
        </w:rPr>
        <w:t xml:space="preserve"> </w:t>
      </w:r>
      <w:r w:rsidRPr="005D7652">
        <w:rPr>
          <w:rFonts w:ascii="Calibri" w:hAnsi="Calibri"/>
        </w:rPr>
        <w:t xml:space="preserve">percent </w:t>
      </w:r>
      <w:r w:rsidR="006C23AC" w:rsidRPr="005D7652">
        <w:rPr>
          <w:rFonts w:ascii="Calibri" w:hAnsi="Calibri"/>
        </w:rPr>
        <w:t xml:space="preserve">which </w:t>
      </w:r>
      <w:r w:rsidR="005A36EC">
        <w:rPr>
          <w:rFonts w:ascii="Calibri" w:hAnsi="Calibri"/>
        </w:rPr>
        <w:t xml:space="preserve">is </w:t>
      </w:r>
      <w:r w:rsidR="006C23AC" w:rsidRPr="005D7652">
        <w:rPr>
          <w:rFonts w:ascii="Calibri" w:hAnsi="Calibri"/>
        </w:rPr>
        <w:t xml:space="preserve"> lower </w:t>
      </w:r>
      <w:r w:rsidRPr="005D7652">
        <w:rPr>
          <w:rFonts w:ascii="Calibri" w:hAnsi="Calibri"/>
        </w:rPr>
        <w:t xml:space="preserve">than the estimate from </w:t>
      </w:r>
      <w:r w:rsidR="006C23AC" w:rsidRPr="005D7652">
        <w:rPr>
          <w:rFonts w:ascii="Calibri" w:hAnsi="Calibri"/>
        </w:rPr>
        <w:t>IGME</w:t>
      </w:r>
      <w:r w:rsidRPr="005D7652">
        <w:rPr>
          <w:rFonts w:ascii="Calibri" w:hAnsi="Calibri"/>
        </w:rPr>
        <w:t xml:space="preserve"> for the same year (</w:t>
      </w:r>
      <w:r w:rsidR="006C23AC" w:rsidRPr="005D7652">
        <w:rPr>
          <w:rFonts w:ascii="Calibri" w:hAnsi="Calibri"/>
        </w:rPr>
        <w:t>2012</w:t>
      </w:r>
      <w:r w:rsidRPr="005D7652">
        <w:rPr>
          <w:rFonts w:ascii="Calibri" w:hAnsi="Calibri"/>
        </w:rPr>
        <w:t xml:space="preserve">), while the trend indicated by the survey results are in broad agreement with those estimated in </w:t>
      </w:r>
      <w:r w:rsidR="005D7652" w:rsidRPr="005D7652">
        <w:rPr>
          <w:rFonts w:ascii="Calibri" w:hAnsi="Calibri"/>
        </w:rPr>
        <w:t>2006</w:t>
      </w:r>
      <w:r w:rsidRPr="005D7652">
        <w:rPr>
          <w:rFonts w:ascii="Calibri" w:hAnsi="Calibri"/>
        </w:rPr>
        <w:t xml:space="preserve"> </w:t>
      </w:r>
      <w:r w:rsidR="005D7652" w:rsidRPr="005D7652">
        <w:rPr>
          <w:rFonts w:ascii="Calibri" w:hAnsi="Calibri"/>
        </w:rPr>
        <w:t xml:space="preserve">and 2007 </w:t>
      </w:r>
      <w:r w:rsidRPr="005D7652">
        <w:rPr>
          <w:rFonts w:ascii="Calibri" w:hAnsi="Calibri"/>
        </w:rPr>
        <w:t>in the previous MICS survey (</w:t>
      </w:r>
      <w:r w:rsidR="005D7652" w:rsidRPr="005D7652">
        <w:rPr>
          <w:rFonts w:ascii="Calibri" w:hAnsi="Calibri"/>
        </w:rPr>
        <w:t>PFS/MICS4</w:t>
      </w:r>
      <w:r w:rsidRPr="005D7652">
        <w:rPr>
          <w:rFonts w:ascii="Calibri" w:hAnsi="Calibri"/>
        </w:rPr>
        <w:t>).  Further qualification of th</w:t>
      </w:r>
      <w:r w:rsidR="00846D4A">
        <w:rPr>
          <w:rFonts w:ascii="Calibri" w:hAnsi="Calibri"/>
        </w:rPr>
        <w:t>is</w:t>
      </w:r>
      <w:r w:rsidRPr="005D7652">
        <w:rPr>
          <w:rFonts w:ascii="Calibri" w:hAnsi="Calibri"/>
        </w:rPr>
        <w:t xml:space="preserve"> apparent decline and differences as well as its determinants should be taken up in a more detailed and separate analysis.</w:t>
      </w: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BE52C3" w:rsidRDefault="00BE52C3" w:rsidP="005D7652">
      <w:pPr>
        <w:pStyle w:val="BodyText"/>
        <w:widowControl/>
        <w:tabs>
          <w:tab w:val="left" w:pos="720"/>
        </w:tabs>
        <w:spacing w:line="264" w:lineRule="auto"/>
        <w:rPr>
          <w:rFonts w:asciiTheme="minorHAnsi" w:hAnsiTheme="minorHAnsi"/>
          <w:b/>
          <w:spacing w:val="30"/>
          <w:sz w:val="24"/>
          <w:szCs w:val="24"/>
        </w:rPr>
      </w:pPr>
    </w:p>
    <w:p w:rsidR="00BE52C3" w:rsidRDefault="00BE52C3" w:rsidP="005D7652">
      <w:pPr>
        <w:pStyle w:val="BodyText"/>
        <w:widowControl/>
        <w:tabs>
          <w:tab w:val="left" w:pos="720"/>
        </w:tabs>
        <w:spacing w:line="264" w:lineRule="auto"/>
        <w:rPr>
          <w:rFonts w:asciiTheme="minorHAnsi" w:hAnsiTheme="minorHAnsi"/>
          <w:b/>
          <w:spacing w:val="30"/>
          <w:sz w:val="24"/>
          <w:szCs w:val="24"/>
        </w:rPr>
      </w:pPr>
    </w:p>
    <w:p w:rsidR="00BE52C3" w:rsidRDefault="00BE52C3"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DA28B0" w:rsidRDefault="00DA28B0" w:rsidP="005D7652">
      <w:pPr>
        <w:pStyle w:val="BodyText"/>
        <w:widowControl/>
        <w:tabs>
          <w:tab w:val="left" w:pos="720"/>
        </w:tabs>
        <w:spacing w:line="264" w:lineRule="auto"/>
        <w:rPr>
          <w:rFonts w:asciiTheme="minorHAnsi" w:hAnsiTheme="minorHAnsi"/>
          <w:b/>
          <w:spacing w:val="30"/>
          <w:sz w:val="24"/>
          <w:szCs w:val="24"/>
        </w:rPr>
      </w:pPr>
    </w:p>
    <w:p w:rsidR="002D1451" w:rsidRDefault="002D1451" w:rsidP="005D7652">
      <w:pPr>
        <w:pStyle w:val="BodyText"/>
        <w:widowControl/>
        <w:tabs>
          <w:tab w:val="left" w:pos="720"/>
        </w:tabs>
        <w:spacing w:line="264" w:lineRule="auto"/>
        <w:rPr>
          <w:rFonts w:asciiTheme="minorHAnsi" w:hAnsiTheme="minorHAnsi"/>
          <w:b/>
          <w:spacing w:val="30"/>
          <w:sz w:val="24"/>
          <w:szCs w:val="24"/>
        </w:rPr>
      </w:pPr>
    </w:p>
    <w:p w:rsidR="002D1451" w:rsidRDefault="002D1451" w:rsidP="005D7652">
      <w:pPr>
        <w:pStyle w:val="BodyText"/>
        <w:widowControl/>
        <w:tabs>
          <w:tab w:val="left" w:pos="720"/>
        </w:tabs>
        <w:spacing w:line="264" w:lineRule="auto"/>
        <w:rPr>
          <w:rFonts w:asciiTheme="minorHAnsi" w:hAnsiTheme="minorHAnsi"/>
          <w:b/>
          <w:spacing w:val="30"/>
          <w:sz w:val="24"/>
          <w:szCs w:val="24"/>
        </w:rPr>
      </w:pPr>
    </w:p>
    <w:p w:rsidR="005D7652" w:rsidRPr="003F02BE" w:rsidRDefault="005D7652" w:rsidP="002D1451">
      <w:pPr>
        <w:pStyle w:val="BodyText"/>
        <w:widowControl/>
        <w:tabs>
          <w:tab w:val="left" w:pos="720"/>
        </w:tabs>
        <w:spacing w:line="264" w:lineRule="auto"/>
        <w:rPr>
          <w:rFonts w:ascii="Calibri" w:hAnsi="Calibri"/>
          <w:sz w:val="24"/>
          <w:szCs w:val="24"/>
          <w:lang w:val="en-GB"/>
        </w:rPr>
      </w:pPr>
      <w:r w:rsidRPr="003F02BE">
        <w:rPr>
          <w:rFonts w:asciiTheme="minorHAnsi" w:hAnsiTheme="minorHAnsi"/>
          <w:b/>
          <w:spacing w:val="30"/>
          <w:sz w:val="24"/>
          <w:szCs w:val="24"/>
        </w:rPr>
        <w:lastRenderedPageBreak/>
        <w:t xml:space="preserve">Figure CM.3: Trend in under-5 mortality rates, </w:t>
      </w:r>
      <w:r w:rsidR="002D1451">
        <w:rPr>
          <w:rFonts w:asciiTheme="minorHAnsi" w:hAnsiTheme="minorHAnsi"/>
          <w:b/>
          <w:spacing w:val="30"/>
          <w:sz w:val="24"/>
          <w:szCs w:val="24"/>
          <w:lang w:val="en-GB"/>
        </w:rPr>
        <w:t>Palestine</w:t>
      </w:r>
      <w:r w:rsidRPr="003F02BE">
        <w:rPr>
          <w:rFonts w:asciiTheme="minorHAnsi" w:hAnsiTheme="minorHAnsi"/>
          <w:b/>
          <w:spacing w:val="30"/>
          <w:sz w:val="24"/>
          <w:szCs w:val="24"/>
        </w:rPr>
        <w:t>, 2014</w:t>
      </w:r>
    </w:p>
    <w:p w:rsidR="006C23AC" w:rsidRDefault="006C23AC" w:rsidP="00867501">
      <w:pPr>
        <w:spacing w:line="264" w:lineRule="auto"/>
        <w:rPr>
          <w:rFonts w:ascii="Calibri" w:hAnsi="Calibri"/>
        </w:rPr>
      </w:pPr>
      <w:r w:rsidRPr="006C23AC">
        <w:rPr>
          <w:rFonts w:ascii="Calibri" w:hAnsi="Calibri"/>
          <w:noProof/>
        </w:rPr>
        <w:drawing>
          <wp:inline distT="0" distB="0" distL="0" distR="0">
            <wp:extent cx="5486400" cy="4059555"/>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5BA6" w:rsidRPr="00AF5BA6" w:rsidRDefault="00AF5BA6" w:rsidP="00AF5BA6">
      <w:pPr>
        <w:tabs>
          <w:tab w:val="left" w:pos="1440"/>
          <w:tab w:val="right" w:leader="dot" w:pos="9000"/>
        </w:tabs>
        <w:rPr>
          <w:rFonts w:ascii="Arial" w:hAnsi="Arial" w:cs="Arial"/>
          <w:color w:val="333333"/>
          <w:sz w:val="15"/>
          <w:szCs w:val="15"/>
          <w:shd w:val="clear" w:color="auto" w:fill="FFFFFF"/>
        </w:rPr>
      </w:pPr>
      <w:r w:rsidRPr="00AF5BA6">
        <w:rPr>
          <w:rFonts w:ascii="Arial" w:hAnsi="Arial" w:cs="Arial"/>
          <w:color w:val="333333"/>
          <w:sz w:val="15"/>
          <w:szCs w:val="15"/>
          <w:shd w:val="clear" w:color="auto" w:fill="FFFFFF"/>
        </w:rPr>
        <w:t>PAPFAM</w:t>
      </w:r>
      <w:r>
        <w:rPr>
          <w:rFonts w:ascii="Arial" w:hAnsi="Arial" w:cs="Arial"/>
          <w:color w:val="333333"/>
          <w:sz w:val="15"/>
          <w:szCs w:val="15"/>
          <w:shd w:val="clear" w:color="auto" w:fill="FFFFFF"/>
        </w:rPr>
        <w:t xml:space="preserve">: </w:t>
      </w:r>
      <w:r w:rsidRPr="00AF5BA6">
        <w:rPr>
          <w:rFonts w:ascii="Arial" w:hAnsi="Arial" w:cs="Arial"/>
          <w:color w:val="333333"/>
          <w:sz w:val="15"/>
          <w:szCs w:val="15"/>
          <w:shd w:val="clear" w:color="auto" w:fill="FFFFFF"/>
        </w:rPr>
        <w:t>Pan Arab Family Health Survey</w:t>
      </w:r>
    </w:p>
    <w:p w:rsidR="00AF5BA6" w:rsidRPr="00AF5BA6" w:rsidRDefault="00AF5BA6" w:rsidP="00AF5BA6">
      <w:pPr>
        <w:spacing w:line="264" w:lineRule="auto"/>
        <w:rPr>
          <w:rFonts w:ascii="Arial" w:hAnsi="Arial" w:cs="Arial"/>
          <w:color w:val="333333"/>
          <w:sz w:val="15"/>
          <w:szCs w:val="15"/>
          <w:shd w:val="clear" w:color="auto" w:fill="FFFFFF"/>
        </w:rPr>
      </w:pPr>
      <w:r w:rsidRPr="00AF5BA6">
        <w:rPr>
          <w:rFonts w:ascii="Arial" w:hAnsi="Arial" w:cs="Arial"/>
          <w:color w:val="333333"/>
          <w:sz w:val="15"/>
          <w:szCs w:val="15"/>
          <w:shd w:val="clear" w:color="auto" w:fill="FFFFFF"/>
        </w:rPr>
        <w:t>UNRWA</w:t>
      </w:r>
      <w:r>
        <w:rPr>
          <w:rFonts w:ascii="Arial" w:hAnsi="Arial" w:cs="Arial"/>
          <w:color w:val="333333"/>
          <w:sz w:val="15"/>
          <w:szCs w:val="15"/>
          <w:shd w:val="clear" w:color="auto" w:fill="FFFFFF"/>
        </w:rPr>
        <w:t>: T</w:t>
      </w:r>
      <w:r w:rsidRPr="00AF5BA6">
        <w:rPr>
          <w:rFonts w:ascii="Arial" w:hAnsi="Arial" w:cs="Arial"/>
          <w:color w:val="333333"/>
          <w:sz w:val="15"/>
          <w:szCs w:val="15"/>
          <w:shd w:val="clear" w:color="auto" w:fill="FFFFFF"/>
        </w:rPr>
        <w:t>he United Nations Relief and Works Agency for Palestine Refugees in the Near East</w:t>
      </w:r>
    </w:p>
    <w:p w:rsidR="00A01911" w:rsidRDefault="00560FCC" w:rsidP="00CB54EF">
      <w:pPr>
        <w:spacing w:line="264" w:lineRule="auto"/>
        <w:rPr>
          <w:rFonts w:ascii="Calibri" w:hAnsi="Calibri"/>
          <w:color w:val="FF0000"/>
          <w:szCs w:val="22"/>
        </w:rPr>
      </w:pPr>
      <w:r>
        <w:rPr>
          <w:rFonts w:ascii="Arial" w:hAnsi="Arial" w:cs="Arial"/>
          <w:color w:val="333333"/>
          <w:sz w:val="15"/>
          <w:szCs w:val="15"/>
          <w:shd w:val="clear" w:color="auto" w:fill="FFFFFF"/>
        </w:rPr>
        <w:t>IGME: Inter-agency Group for Child Mortality Estimation</w:t>
      </w:r>
    </w:p>
    <w:p w:rsidR="00A01911" w:rsidRDefault="00A01911" w:rsidP="00CB54EF">
      <w:pPr>
        <w:spacing w:line="264" w:lineRule="auto"/>
        <w:rPr>
          <w:rFonts w:ascii="Calibri" w:hAnsi="Calibri"/>
          <w:color w:val="FF0000"/>
          <w:szCs w:val="22"/>
        </w:rPr>
      </w:pPr>
    </w:p>
    <w:p w:rsidR="00A01911" w:rsidRDefault="00A01911" w:rsidP="00CB54EF">
      <w:pPr>
        <w:spacing w:line="264" w:lineRule="auto"/>
        <w:rPr>
          <w:rFonts w:ascii="Calibri" w:hAnsi="Calibri"/>
          <w:color w:val="FF0000"/>
          <w:szCs w:val="22"/>
        </w:rPr>
      </w:pPr>
    </w:p>
    <w:p w:rsidR="00500B3C" w:rsidRDefault="00500B3C" w:rsidP="00CB54EF">
      <w:pPr>
        <w:spacing w:line="264" w:lineRule="auto"/>
        <w:rPr>
          <w:rFonts w:ascii="Calibri" w:hAnsi="Calibri"/>
          <w:color w:val="FF0000"/>
          <w:szCs w:val="22"/>
        </w:rPr>
      </w:pPr>
    </w:p>
    <w:p w:rsidR="00500B3C" w:rsidRDefault="00500B3C" w:rsidP="00CB54EF">
      <w:pPr>
        <w:spacing w:line="264" w:lineRule="auto"/>
        <w:rPr>
          <w:rFonts w:ascii="Calibri" w:hAnsi="Calibri"/>
          <w:color w:val="FF0000"/>
          <w:szCs w:val="22"/>
        </w:rPr>
      </w:pPr>
    </w:p>
    <w:p w:rsidR="00500B3C" w:rsidRDefault="00500B3C" w:rsidP="00CB54EF">
      <w:pPr>
        <w:spacing w:line="264" w:lineRule="auto"/>
        <w:rPr>
          <w:rFonts w:ascii="Calibri" w:hAnsi="Calibri"/>
          <w:color w:val="FF0000"/>
          <w:szCs w:val="22"/>
        </w:rPr>
      </w:pPr>
    </w:p>
    <w:p w:rsidR="00500B3C" w:rsidRDefault="00500B3C" w:rsidP="00CB54EF">
      <w:pPr>
        <w:spacing w:line="264" w:lineRule="auto"/>
        <w:rPr>
          <w:rFonts w:ascii="Calibri" w:hAnsi="Calibri"/>
          <w:color w:val="FF0000"/>
          <w:szCs w:val="22"/>
        </w:rPr>
      </w:pPr>
    </w:p>
    <w:p w:rsidR="00500B3C" w:rsidRDefault="00500B3C" w:rsidP="00CB54EF">
      <w:pPr>
        <w:spacing w:line="264" w:lineRule="auto"/>
        <w:rPr>
          <w:rFonts w:ascii="Calibri" w:hAnsi="Calibri"/>
          <w:color w:val="FF0000"/>
          <w:szCs w:val="22"/>
        </w:rPr>
      </w:pPr>
    </w:p>
    <w:p w:rsidR="00500B3C" w:rsidRDefault="00500B3C" w:rsidP="00CB54EF">
      <w:pPr>
        <w:spacing w:line="264" w:lineRule="auto"/>
        <w:rPr>
          <w:rFonts w:ascii="Calibri" w:hAnsi="Calibri"/>
          <w:color w:val="FF0000"/>
          <w:szCs w:val="22"/>
        </w:rPr>
      </w:pPr>
    </w:p>
    <w:p w:rsidR="00ED390B" w:rsidRDefault="00ED390B" w:rsidP="00A01911">
      <w:pPr>
        <w:spacing w:line="264" w:lineRule="auto"/>
        <w:rPr>
          <w:rFonts w:ascii="Calibri" w:hAnsi="Calibri"/>
          <w:lang w:val="en-GB"/>
        </w:rPr>
      </w:pPr>
    </w:p>
    <w:p w:rsidR="00ED390B" w:rsidRDefault="00ED390B" w:rsidP="00A01911">
      <w:pPr>
        <w:spacing w:line="264" w:lineRule="auto"/>
        <w:rPr>
          <w:rFonts w:ascii="Calibri" w:hAnsi="Calibri"/>
          <w:lang w:val="en-GB"/>
        </w:rPr>
      </w:pPr>
    </w:p>
    <w:p w:rsidR="00A01911" w:rsidRPr="00BF16FA" w:rsidRDefault="00A01911" w:rsidP="00BF16FA">
      <w:pPr>
        <w:spacing w:line="264" w:lineRule="auto"/>
        <w:rPr>
          <w:rFonts w:asciiTheme="minorHAnsi" w:hAnsiTheme="minorHAnsi"/>
          <w:b/>
          <w:spacing w:val="30"/>
          <w:sz w:val="28"/>
          <w:szCs w:val="28"/>
          <w:lang w:val="en-GB"/>
        </w:rPr>
      </w:pPr>
    </w:p>
    <w:p w:rsidR="00C7610F" w:rsidRDefault="00C7610F" w:rsidP="003F02BE">
      <w:pPr>
        <w:keepNext/>
        <w:keepLines/>
        <w:spacing w:line="264" w:lineRule="auto"/>
        <w:jc w:val="center"/>
        <w:rPr>
          <w:rFonts w:asciiTheme="minorHAnsi" w:hAnsiTheme="minorHAnsi" w:cstheme="minorHAnsi"/>
          <w:szCs w:val="24"/>
        </w:rPr>
      </w:pPr>
    </w:p>
    <w:p w:rsidR="00C7610F" w:rsidRDefault="00C7610F" w:rsidP="00015176">
      <w:pPr>
        <w:spacing w:line="264" w:lineRule="auto"/>
        <w:rPr>
          <w:rFonts w:ascii="Calibri" w:hAnsi="Calibri"/>
          <w:lang w:val="en-GB"/>
        </w:rPr>
      </w:pPr>
    </w:p>
    <w:sectPr w:rsidR="00C7610F" w:rsidSect="00221D21">
      <w:footerReference w:type="default" r:id="rId10"/>
      <w:pgSz w:w="11907" w:h="16840" w:code="9"/>
      <w:pgMar w:top="1440" w:right="1440" w:bottom="1440" w:left="1440" w:header="720" w:footer="720" w:gutter="0"/>
      <w:pgNumType w:start="19"/>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AE936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1EA" w:rsidRDefault="00CE51EA">
      <w:r>
        <w:separator/>
      </w:r>
    </w:p>
  </w:endnote>
  <w:endnote w:type="continuationSeparator" w:id="0">
    <w:p w:rsidR="00CE51EA" w:rsidRDefault="00CE51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9466160"/>
      <w:docPartObj>
        <w:docPartGallery w:val="Page Numbers (Bottom of Page)"/>
        <w:docPartUnique/>
      </w:docPartObj>
    </w:sdtPr>
    <w:sdtContent>
      <w:p w:rsidR="00150FDA" w:rsidRPr="004D6746" w:rsidRDefault="00952F61">
        <w:pPr>
          <w:pStyle w:val="Footer"/>
          <w:jc w:val="right"/>
          <w:rPr>
            <w:sz w:val="20"/>
          </w:rPr>
        </w:pPr>
        <w:r w:rsidRPr="004D6746">
          <w:rPr>
            <w:sz w:val="20"/>
          </w:rPr>
          <w:fldChar w:fldCharType="begin"/>
        </w:r>
        <w:r w:rsidR="001B3654" w:rsidRPr="004D6746">
          <w:rPr>
            <w:sz w:val="20"/>
          </w:rPr>
          <w:instrText xml:space="preserve"> PAGE   \* MERGEFORMAT </w:instrText>
        </w:r>
        <w:r w:rsidRPr="004D6746">
          <w:rPr>
            <w:sz w:val="20"/>
          </w:rPr>
          <w:fldChar w:fldCharType="separate"/>
        </w:r>
        <w:r w:rsidR="00221D21">
          <w:rPr>
            <w:noProof/>
            <w:sz w:val="20"/>
          </w:rPr>
          <w:t>24</w:t>
        </w:r>
        <w:r w:rsidRPr="004D6746">
          <w:rPr>
            <w:noProof/>
            <w:sz w:val="20"/>
          </w:rPr>
          <w:fldChar w:fldCharType="end"/>
        </w:r>
      </w:p>
    </w:sdtContent>
  </w:sdt>
  <w:p w:rsidR="00150FDA" w:rsidRDefault="00150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1EA" w:rsidRDefault="00CE51EA">
      <w:r>
        <w:separator/>
      </w:r>
    </w:p>
  </w:footnote>
  <w:footnote w:type="continuationSeparator" w:id="0">
    <w:p w:rsidR="00CE51EA" w:rsidRDefault="00CE51E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C7610F"/>
    <w:rsid w:val="00004501"/>
    <w:rsid w:val="00015176"/>
    <w:rsid w:val="00021C74"/>
    <w:rsid w:val="00036FE5"/>
    <w:rsid w:val="000612CD"/>
    <w:rsid w:val="000F2E8A"/>
    <w:rsid w:val="00150FDA"/>
    <w:rsid w:val="00192176"/>
    <w:rsid w:val="001A1A45"/>
    <w:rsid w:val="001B3654"/>
    <w:rsid w:val="001C0A0B"/>
    <w:rsid w:val="001C0F18"/>
    <w:rsid w:val="001C4105"/>
    <w:rsid w:val="001F4A3F"/>
    <w:rsid w:val="002123FE"/>
    <w:rsid w:val="002212DD"/>
    <w:rsid w:val="00221D21"/>
    <w:rsid w:val="002955CA"/>
    <w:rsid w:val="002A2B12"/>
    <w:rsid w:val="002D1451"/>
    <w:rsid w:val="002E03D7"/>
    <w:rsid w:val="00304425"/>
    <w:rsid w:val="003174EC"/>
    <w:rsid w:val="003344DF"/>
    <w:rsid w:val="00377847"/>
    <w:rsid w:val="00377B7A"/>
    <w:rsid w:val="00383735"/>
    <w:rsid w:val="003937C9"/>
    <w:rsid w:val="003B1834"/>
    <w:rsid w:val="003F02BE"/>
    <w:rsid w:val="00450736"/>
    <w:rsid w:val="0049204B"/>
    <w:rsid w:val="00495340"/>
    <w:rsid w:val="004D202F"/>
    <w:rsid w:val="004D6746"/>
    <w:rsid w:val="004D7E8D"/>
    <w:rsid w:val="004E0E99"/>
    <w:rsid w:val="004E1920"/>
    <w:rsid w:val="00500B3C"/>
    <w:rsid w:val="005226BE"/>
    <w:rsid w:val="00560FCC"/>
    <w:rsid w:val="00565FEC"/>
    <w:rsid w:val="00582F0B"/>
    <w:rsid w:val="005A36EC"/>
    <w:rsid w:val="005C6A01"/>
    <w:rsid w:val="005D7652"/>
    <w:rsid w:val="005F239E"/>
    <w:rsid w:val="005F2534"/>
    <w:rsid w:val="00611BC2"/>
    <w:rsid w:val="00622CA6"/>
    <w:rsid w:val="00624F97"/>
    <w:rsid w:val="0063285E"/>
    <w:rsid w:val="0063594F"/>
    <w:rsid w:val="00646950"/>
    <w:rsid w:val="00676834"/>
    <w:rsid w:val="006921DE"/>
    <w:rsid w:val="006938EF"/>
    <w:rsid w:val="006A7A4F"/>
    <w:rsid w:val="006C23AC"/>
    <w:rsid w:val="006C3170"/>
    <w:rsid w:val="006F3C4C"/>
    <w:rsid w:val="0072053E"/>
    <w:rsid w:val="0072310F"/>
    <w:rsid w:val="00743D14"/>
    <w:rsid w:val="00747469"/>
    <w:rsid w:val="00755671"/>
    <w:rsid w:val="00781491"/>
    <w:rsid w:val="007908FD"/>
    <w:rsid w:val="00795416"/>
    <w:rsid w:val="007B5A6F"/>
    <w:rsid w:val="007E120C"/>
    <w:rsid w:val="007F7869"/>
    <w:rsid w:val="00804B9C"/>
    <w:rsid w:val="008050F7"/>
    <w:rsid w:val="00805749"/>
    <w:rsid w:val="0082418C"/>
    <w:rsid w:val="00846D4A"/>
    <w:rsid w:val="008557EB"/>
    <w:rsid w:val="00867501"/>
    <w:rsid w:val="008706A0"/>
    <w:rsid w:val="00881188"/>
    <w:rsid w:val="00887444"/>
    <w:rsid w:val="00896A7C"/>
    <w:rsid w:val="008A5222"/>
    <w:rsid w:val="008C3E08"/>
    <w:rsid w:val="008D460C"/>
    <w:rsid w:val="008F0642"/>
    <w:rsid w:val="00903202"/>
    <w:rsid w:val="0091003A"/>
    <w:rsid w:val="00945595"/>
    <w:rsid w:val="00952F61"/>
    <w:rsid w:val="00961D39"/>
    <w:rsid w:val="00965721"/>
    <w:rsid w:val="00980053"/>
    <w:rsid w:val="00990761"/>
    <w:rsid w:val="00A00755"/>
    <w:rsid w:val="00A01911"/>
    <w:rsid w:val="00A16CF8"/>
    <w:rsid w:val="00A3523C"/>
    <w:rsid w:val="00A56C21"/>
    <w:rsid w:val="00A62993"/>
    <w:rsid w:val="00A83DEA"/>
    <w:rsid w:val="00A86DB9"/>
    <w:rsid w:val="00AA7DED"/>
    <w:rsid w:val="00AB7A24"/>
    <w:rsid w:val="00AD202E"/>
    <w:rsid w:val="00AE5708"/>
    <w:rsid w:val="00AF5BA6"/>
    <w:rsid w:val="00B00FDD"/>
    <w:rsid w:val="00B0711A"/>
    <w:rsid w:val="00B07878"/>
    <w:rsid w:val="00B17AC1"/>
    <w:rsid w:val="00B5001C"/>
    <w:rsid w:val="00B56BFB"/>
    <w:rsid w:val="00BB0241"/>
    <w:rsid w:val="00BD712A"/>
    <w:rsid w:val="00BE52C3"/>
    <w:rsid w:val="00BF16FA"/>
    <w:rsid w:val="00BF4DE7"/>
    <w:rsid w:val="00BF6EE0"/>
    <w:rsid w:val="00C5059C"/>
    <w:rsid w:val="00C7610F"/>
    <w:rsid w:val="00C868A6"/>
    <w:rsid w:val="00CA482E"/>
    <w:rsid w:val="00CB54EF"/>
    <w:rsid w:val="00CC74CF"/>
    <w:rsid w:val="00CD62DD"/>
    <w:rsid w:val="00CE10F2"/>
    <w:rsid w:val="00CE4E05"/>
    <w:rsid w:val="00CE51EA"/>
    <w:rsid w:val="00D078FB"/>
    <w:rsid w:val="00D312BA"/>
    <w:rsid w:val="00DA28B0"/>
    <w:rsid w:val="00DE1225"/>
    <w:rsid w:val="00DF5BC5"/>
    <w:rsid w:val="00E21100"/>
    <w:rsid w:val="00E413E0"/>
    <w:rsid w:val="00E7792B"/>
    <w:rsid w:val="00E95428"/>
    <w:rsid w:val="00ED390B"/>
    <w:rsid w:val="00EF043E"/>
    <w:rsid w:val="00F428C6"/>
    <w:rsid w:val="00F84512"/>
    <w:rsid w:val="00F9756B"/>
    <w:rsid w:val="00F9757B"/>
    <w:rsid w:val="00FB0739"/>
    <w:rsid w:val="00FC2FD8"/>
    <w:rsid w:val="00FF3D20"/>
    <w:rsid w:val="00FF5F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170"/>
    <w:rPr>
      <w:rFonts w:ascii="Times New Roman" w:eastAsia="Times New Roman" w:hAnsi="Times New Roman"/>
      <w:sz w:val="22"/>
    </w:rPr>
  </w:style>
  <w:style w:type="paragraph" w:styleId="Heading2">
    <w:name w:val="heading 2"/>
    <w:basedOn w:val="Normal"/>
    <w:next w:val="Normal"/>
    <w:link w:val="Heading2Char"/>
    <w:qFormat/>
    <w:rsid w:val="006C3170"/>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C3170"/>
    <w:rPr>
      <w:rFonts w:ascii="Arial" w:eastAsia="Times New Roman" w:hAnsi="Arial" w:cs="Arial"/>
      <w:b/>
      <w:bCs/>
      <w:i/>
      <w:iCs/>
      <w:sz w:val="24"/>
      <w:szCs w:val="28"/>
    </w:rPr>
  </w:style>
  <w:style w:type="paragraph" w:styleId="Title">
    <w:name w:val="Title"/>
    <w:basedOn w:val="Normal"/>
    <w:link w:val="TitleChar"/>
    <w:qFormat/>
    <w:rsid w:val="006C3170"/>
    <w:pPr>
      <w:jc w:val="center"/>
    </w:pPr>
    <w:rPr>
      <w:rFonts w:ascii="Arial" w:hAnsi="Arial" w:cs="Arial"/>
      <w:sz w:val="28"/>
    </w:rPr>
  </w:style>
  <w:style w:type="character" w:customStyle="1" w:styleId="TitleChar">
    <w:name w:val="Title Char"/>
    <w:link w:val="Title"/>
    <w:rsid w:val="006C3170"/>
    <w:rPr>
      <w:rFonts w:ascii="Arial" w:eastAsia="Times New Roman" w:hAnsi="Arial" w:cs="Arial"/>
      <w:sz w:val="28"/>
      <w:szCs w:val="20"/>
    </w:rPr>
  </w:style>
  <w:style w:type="paragraph" w:styleId="BodyText">
    <w:name w:val="Body Text"/>
    <w:basedOn w:val="Normal"/>
    <w:link w:val="BodyTextChar"/>
    <w:rsid w:val="006C3170"/>
    <w:pPr>
      <w:widowControl w:val="0"/>
    </w:pPr>
    <w:rPr>
      <w:rFonts w:ascii="Arial" w:hAnsi="Arial"/>
      <w:snapToGrid w:val="0"/>
    </w:rPr>
  </w:style>
  <w:style w:type="character" w:customStyle="1" w:styleId="BodyTextChar">
    <w:name w:val="Body Text Char"/>
    <w:link w:val="BodyText"/>
    <w:rsid w:val="006C3170"/>
    <w:rPr>
      <w:rFonts w:ascii="Arial" w:eastAsia="Times New Roman" w:hAnsi="Arial" w:cs="Times New Roman"/>
      <w:snapToGrid w:val="0"/>
      <w:szCs w:val="20"/>
    </w:rPr>
  </w:style>
  <w:style w:type="character" w:customStyle="1" w:styleId="2H">
    <w:name w:val="2H"/>
    <w:rsid w:val="006C3170"/>
    <w:rPr>
      <w:b/>
      <w:sz w:val="24"/>
    </w:rPr>
  </w:style>
  <w:style w:type="paragraph" w:styleId="FootnoteText">
    <w:name w:val="footnote text"/>
    <w:basedOn w:val="Normal"/>
    <w:link w:val="FootnoteTextChar"/>
    <w:uiPriority w:val="99"/>
    <w:semiHidden/>
    <w:unhideWhenUsed/>
    <w:rsid w:val="006C3170"/>
    <w:rPr>
      <w:sz w:val="20"/>
    </w:rPr>
  </w:style>
  <w:style w:type="character" w:customStyle="1" w:styleId="FootnoteTextChar">
    <w:name w:val="Footnote Text Char"/>
    <w:link w:val="FootnoteText"/>
    <w:uiPriority w:val="99"/>
    <w:semiHidden/>
    <w:rsid w:val="006C3170"/>
    <w:rPr>
      <w:rFonts w:ascii="Times New Roman" w:eastAsia="Times New Roman" w:hAnsi="Times New Roman"/>
      <w:lang w:val="en-US" w:eastAsia="en-US"/>
    </w:rPr>
  </w:style>
  <w:style w:type="character" w:styleId="FootnoteReference">
    <w:name w:val="footnote reference"/>
    <w:uiPriority w:val="99"/>
    <w:semiHidden/>
    <w:unhideWhenUsed/>
    <w:rsid w:val="006C3170"/>
    <w:rPr>
      <w:vertAlign w:val="superscript"/>
    </w:rPr>
  </w:style>
  <w:style w:type="paragraph" w:styleId="BalloonText">
    <w:name w:val="Balloon Text"/>
    <w:basedOn w:val="Normal"/>
    <w:link w:val="BalloonTextChar"/>
    <w:uiPriority w:val="99"/>
    <w:semiHidden/>
    <w:unhideWhenUsed/>
    <w:rsid w:val="006C3170"/>
    <w:rPr>
      <w:rFonts w:ascii="Tahoma" w:hAnsi="Tahoma" w:cs="Tahoma"/>
      <w:sz w:val="16"/>
      <w:szCs w:val="16"/>
    </w:rPr>
  </w:style>
  <w:style w:type="character" w:customStyle="1" w:styleId="BalloonTextChar">
    <w:name w:val="Balloon Text Char"/>
    <w:link w:val="BalloonText"/>
    <w:uiPriority w:val="99"/>
    <w:semiHidden/>
    <w:rsid w:val="006C317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6C3170"/>
    <w:rPr>
      <w:sz w:val="16"/>
      <w:szCs w:val="16"/>
    </w:rPr>
  </w:style>
  <w:style w:type="paragraph" w:styleId="CommentText">
    <w:name w:val="annotation text"/>
    <w:basedOn w:val="Normal"/>
    <w:link w:val="CommentTextChar"/>
    <w:uiPriority w:val="99"/>
    <w:semiHidden/>
    <w:unhideWhenUsed/>
    <w:rsid w:val="006C3170"/>
    <w:rPr>
      <w:sz w:val="20"/>
    </w:rPr>
  </w:style>
  <w:style w:type="character" w:customStyle="1" w:styleId="CommentTextChar">
    <w:name w:val="Comment Text Char"/>
    <w:basedOn w:val="DefaultParagraphFont"/>
    <w:link w:val="CommentText"/>
    <w:uiPriority w:val="99"/>
    <w:semiHidden/>
    <w:rsid w:val="006C317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6C3170"/>
    <w:rPr>
      <w:b/>
      <w:bCs/>
    </w:rPr>
  </w:style>
  <w:style w:type="character" w:customStyle="1" w:styleId="CommentSubjectChar">
    <w:name w:val="Comment Subject Char"/>
    <w:basedOn w:val="CommentTextChar"/>
    <w:link w:val="CommentSubject"/>
    <w:uiPriority w:val="99"/>
    <w:semiHidden/>
    <w:rsid w:val="006C3170"/>
    <w:rPr>
      <w:rFonts w:ascii="Times New Roman" w:eastAsia="Times New Roman" w:hAnsi="Times New Roman"/>
      <w:b/>
      <w:bCs/>
    </w:rPr>
  </w:style>
  <w:style w:type="paragraph" w:styleId="Revision">
    <w:name w:val="Revision"/>
    <w:hidden/>
    <w:uiPriority w:val="99"/>
    <w:semiHidden/>
    <w:rsid w:val="006C3170"/>
    <w:rPr>
      <w:rFonts w:ascii="Times New Roman" w:eastAsia="Times New Roman" w:hAnsi="Times New Roman"/>
      <w:sz w:val="22"/>
    </w:rPr>
  </w:style>
  <w:style w:type="paragraph" w:styleId="Header">
    <w:name w:val="header"/>
    <w:basedOn w:val="Normal"/>
    <w:link w:val="HeaderChar"/>
    <w:uiPriority w:val="99"/>
    <w:semiHidden/>
    <w:unhideWhenUsed/>
    <w:rsid w:val="00150FDA"/>
    <w:pPr>
      <w:tabs>
        <w:tab w:val="center" w:pos="4153"/>
        <w:tab w:val="right" w:pos="8306"/>
      </w:tabs>
    </w:pPr>
  </w:style>
  <w:style w:type="character" w:customStyle="1" w:styleId="HeaderChar">
    <w:name w:val="Header Char"/>
    <w:basedOn w:val="DefaultParagraphFont"/>
    <w:link w:val="Header"/>
    <w:uiPriority w:val="99"/>
    <w:semiHidden/>
    <w:rsid w:val="00150FDA"/>
    <w:rPr>
      <w:rFonts w:ascii="Times New Roman" w:eastAsia="Times New Roman" w:hAnsi="Times New Roman"/>
      <w:sz w:val="22"/>
    </w:rPr>
  </w:style>
  <w:style w:type="paragraph" w:styleId="Footer">
    <w:name w:val="footer"/>
    <w:basedOn w:val="Normal"/>
    <w:link w:val="FooterChar"/>
    <w:uiPriority w:val="99"/>
    <w:unhideWhenUsed/>
    <w:rsid w:val="00150FDA"/>
    <w:pPr>
      <w:tabs>
        <w:tab w:val="center" w:pos="4153"/>
        <w:tab w:val="right" w:pos="8306"/>
      </w:tabs>
    </w:pPr>
  </w:style>
  <w:style w:type="character" w:customStyle="1" w:styleId="FooterChar">
    <w:name w:val="Footer Char"/>
    <w:basedOn w:val="DefaultParagraphFont"/>
    <w:link w:val="Footer"/>
    <w:uiPriority w:val="99"/>
    <w:rsid w:val="00150FDA"/>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77334035">
      <w:bodyDiv w:val="1"/>
      <w:marLeft w:val="0"/>
      <w:marRight w:val="0"/>
      <w:marTop w:val="0"/>
      <w:marBottom w:val="0"/>
      <w:divBdr>
        <w:top w:val="none" w:sz="0" w:space="0" w:color="auto"/>
        <w:left w:val="none" w:sz="0" w:space="0" w:color="auto"/>
        <w:bottom w:val="none" w:sz="0" w:space="0" w:color="auto"/>
        <w:right w:val="none" w:sz="0" w:space="0" w:color="auto"/>
      </w:divBdr>
    </w:div>
    <w:div w:id="380981372">
      <w:bodyDiv w:val="1"/>
      <w:marLeft w:val="0"/>
      <w:marRight w:val="0"/>
      <w:marTop w:val="0"/>
      <w:marBottom w:val="0"/>
      <w:divBdr>
        <w:top w:val="none" w:sz="0" w:space="0" w:color="auto"/>
        <w:left w:val="none" w:sz="0" w:space="0" w:color="auto"/>
        <w:bottom w:val="none" w:sz="0" w:space="0" w:color="auto"/>
        <w:right w:val="none" w:sz="0" w:space="0" w:color="auto"/>
      </w:divBdr>
    </w:div>
    <w:div w:id="662053943">
      <w:bodyDiv w:val="1"/>
      <w:marLeft w:val="0"/>
      <w:marRight w:val="0"/>
      <w:marTop w:val="0"/>
      <w:marBottom w:val="0"/>
      <w:divBdr>
        <w:top w:val="none" w:sz="0" w:space="0" w:color="auto"/>
        <w:left w:val="none" w:sz="0" w:space="0" w:color="auto"/>
        <w:bottom w:val="none" w:sz="0" w:space="0" w:color="auto"/>
        <w:right w:val="none" w:sz="0" w:space="0" w:color="auto"/>
      </w:divBdr>
    </w:div>
    <w:div w:id="819083076">
      <w:bodyDiv w:val="1"/>
      <w:marLeft w:val="0"/>
      <w:marRight w:val="0"/>
      <w:marTop w:val="0"/>
      <w:marBottom w:val="0"/>
      <w:divBdr>
        <w:top w:val="none" w:sz="0" w:space="0" w:color="auto"/>
        <w:left w:val="none" w:sz="0" w:space="0" w:color="auto"/>
        <w:bottom w:val="none" w:sz="0" w:space="0" w:color="auto"/>
        <w:right w:val="none" w:sz="0" w:space="0" w:color="auto"/>
      </w:divBdr>
    </w:div>
    <w:div w:id="1257324016">
      <w:bodyDiv w:val="1"/>
      <w:marLeft w:val="0"/>
      <w:marRight w:val="0"/>
      <w:marTop w:val="0"/>
      <w:marBottom w:val="0"/>
      <w:divBdr>
        <w:top w:val="none" w:sz="0" w:space="0" w:color="auto"/>
        <w:left w:val="none" w:sz="0" w:space="0" w:color="auto"/>
        <w:bottom w:val="none" w:sz="0" w:space="0" w:color="auto"/>
        <w:right w:val="none" w:sz="0" w:space="0" w:color="auto"/>
      </w:divBdr>
    </w:div>
    <w:div w:id="1543012063">
      <w:bodyDiv w:val="1"/>
      <w:marLeft w:val="0"/>
      <w:marRight w:val="0"/>
      <w:marTop w:val="0"/>
      <w:marBottom w:val="0"/>
      <w:divBdr>
        <w:top w:val="none" w:sz="0" w:space="0" w:color="auto"/>
        <w:left w:val="none" w:sz="0" w:space="0" w:color="auto"/>
        <w:bottom w:val="none" w:sz="0" w:space="0" w:color="auto"/>
        <w:right w:val="none" w:sz="0" w:space="0" w:color="auto"/>
      </w:divBdr>
    </w:div>
    <w:div w:id="1900046612">
      <w:bodyDiv w:val="1"/>
      <w:marLeft w:val="0"/>
      <w:marRight w:val="0"/>
      <w:marTop w:val="0"/>
      <w:marBottom w:val="0"/>
      <w:divBdr>
        <w:top w:val="none" w:sz="0" w:space="0" w:color="auto"/>
        <w:left w:val="none" w:sz="0" w:space="0" w:color="auto"/>
        <w:bottom w:val="none" w:sz="0" w:space="0" w:color="auto"/>
        <w:right w:val="none" w:sz="0" w:space="0" w:color="auto"/>
      </w:divBdr>
    </w:div>
    <w:div w:id="209015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3.xml"/><Relationship Id="rId14"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oleObject" Target="file:///C:\MICS5_palestine\Palestinian%20Final%20report%202014\PMICS5_Final%20Figures\UNICEF%20Fig\Ch04b%20Figu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MICS5_palestine\Palestinian%20Final%20report%202014\PMICS5_Final%20Figures\UNICEF%20Fig\Ch04b%20Figure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MICS5_palestine\Palestinian%20Final%20report%202014\PMICS5_Final%20Figures\UNICEF%20Fig\Ch04b%20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1.3874307378244386E-2"/>
          <c:y val="3.3433356647038052E-3"/>
          <c:w val="0.9669284467713849"/>
          <c:h val="0.75123028540351788"/>
        </c:manualLayout>
      </c:layout>
      <c:barChart>
        <c:barDir val="col"/>
        <c:grouping val="clustered"/>
        <c:ser>
          <c:idx val="2"/>
          <c:order val="0"/>
          <c:tx>
            <c:strRef>
              <c:f>'CM.1'!$A$10</c:f>
              <c:strCache>
                <c:ptCount val="1"/>
                <c:pt idx="0">
                  <c:v>0-4</c:v>
                </c:pt>
              </c:strCache>
            </c:strRef>
          </c:tx>
          <c:spPr>
            <a:solidFill>
              <a:schemeClr val="accent5">
                <a:lumMod val="75000"/>
              </a:schemeClr>
            </a:solidFill>
            <a:ln>
              <a:solidFill>
                <a:schemeClr val="tx1"/>
              </a:solidFill>
            </a:ln>
            <a:effectLst>
              <a:innerShdw blurRad="114300">
                <a:schemeClr val="dk1">
                  <a:tint val="75000"/>
                </a:schemeClr>
              </a:innerShdw>
            </a:effectLst>
          </c:spPr>
          <c:dLbls>
            <c:dLbl>
              <c:idx val="0"/>
              <c:layout>
                <c:manualLayout>
                  <c:x val="1.1574074074074021E-3"/>
                  <c:y val="8.2822980460768396E-4"/>
                </c:manualLayout>
              </c:layout>
              <c:dLblPos val="outEnd"/>
              <c:showVal val="1"/>
              <c:extLst>
                <c:ext xmlns:c15="http://schemas.microsoft.com/office/drawing/2012/chart" uri="{CE6537A1-D6FC-4f65-9D91-7224C49458BB}">
                  <c15:layout>
                    <c:manualLayout>
                      <c:w val="6.0462962962962961E-2"/>
                      <c:h val="3.9980137617932891E-2"/>
                    </c:manualLayout>
                  </c15:layout>
                </c:ext>
              </c:extLst>
            </c:dLbl>
            <c:dLbl>
              <c:idx val="1"/>
              <c:layout>
                <c:manualLayout>
                  <c:x val="0"/>
                  <c:y val="8.8361423106110039E-3"/>
                </c:manualLayout>
              </c:layout>
              <c:dLblPos val="outEnd"/>
              <c:showVal val="1"/>
              <c:extLst>
                <c:ext xmlns:c15="http://schemas.microsoft.com/office/drawing/2012/chart" uri="{CE6537A1-D6FC-4f65-9D91-7224C49458BB}"/>
              </c:extLst>
            </c:dLbl>
            <c:dLbl>
              <c:idx val="2"/>
              <c:layout>
                <c:manualLayout>
                  <c:x val="8.1018518518518462E-3"/>
                  <c:y val="-2.7901917665698091E-4"/>
                </c:manualLayout>
              </c:layout>
              <c:dLblPos val="outEnd"/>
              <c:showVal val="1"/>
              <c:extLst>
                <c:ext xmlns:c15="http://schemas.microsoft.com/office/drawing/2012/chart" uri="{CE6537A1-D6FC-4f65-9D91-7224C49458BB}">
                  <c15:layout>
                    <c:manualLayout>
                      <c:w val="5.1203703703703696E-2"/>
                      <c:h val="4.3984141621936895E-2"/>
                    </c:manualLayout>
                  </c15:layout>
                </c:ext>
              </c:extLst>
            </c:dLbl>
            <c:dLbl>
              <c:idx val="3"/>
              <c:layout>
                <c:manualLayout>
                  <c:x val="0"/>
                  <c:y val="-6.7324016930317039E-3"/>
                </c:manualLayout>
              </c:layout>
              <c:dLblPos val="outEnd"/>
              <c:showVal val="1"/>
              <c:extLst>
                <c:ext xmlns:c15="http://schemas.microsoft.com/office/drawing/2012/chart" uri="{CE6537A1-D6FC-4f65-9D91-7224C49458BB}"/>
              </c:extLst>
            </c:dLbl>
            <c:dLbl>
              <c:idx val="4"/>
              <c:layout>
                <c:manualLayout>
                  <c:x val="-4.6296296296297994E-3"/>
                  <c:y val="2.3828552962411233E-3"/>
                </c:manualLayout>
              </c:layout>
              <c:dLblPos val="outEnd"/>
              <c:showVal val="1"/>
              <c:extLst>
                <c:ext xmlns:c15="http://schemas.microsoft.com/office/drawing/2012/chart" uri="{CE6537A1-D6FC-4f65-9D91-7224C49458BB}">
                  <c15:layout>
                    <c:manualLayout>
                      <c:w val="6.277777777777778E-2"/>
                      <c:h val="5.1992149629944903E-2"/>
                    </c:manualLayout>
                  </c15:layout>
                </c:ext>
              </c:extLst>
            </c:dLbl>
            <c:numFmt formatCode="#,##0" sourceLinked="0"/>
            <c:spPr>
              <a:solidFill>
                <a:schemeClr val="bg1"/>
              </a:solidFill>
              <a:ln>
                <a:noFill/>
              </a:ln>
              <a:effectLst/>
            </c:spPr>
            <c:txPr>
              <a:bodyPr rot="0" vert="horz"/>
              <a:lstStyle/>
              <a:p>
                <a:pPr>
                  <a:defRPr/>
                </a:pPr>
                <a:endParaRPr lang="ar-SA"/>
              </a:p>
            </c:txPr>
            <c:dLblPos val="inEnd"/>
            <c:showVal val="1"/>
            <c:extLst>
              <c:ext xmlns:c15="http://schemas.microsoft.com/office/drawing/2012/chart" uri="{CE6537A1-D6FC-4f65-9D91-7224C49458BB}">
                <c15:spPr xmlns:c15="http://schemas.microsoft.com/office/drawing/2012/chart">
                  <a:prstGeom prst="roundRect">
                    <a:avLst/>
                  </a:prstGeom>
                </c15:spPr>
                <c15:showLeaderLines val="1"/>
                <c15:leaderLines>
                  <c:spPr>
                    <a:ln w="9525">
                      <a:solidFill>
                        <a:schemeClr val="tx1">
                          <a:lumMod val="35000"/>
                          <a:lumOff val="65000"/>
                        </a:schemeClr>
                      </a:solidFill>
                    </a:ln>
                    <a:effectLst/>
                  </c:spPr>
                </c15:leaderLines>
              </c:ext>
            </c:extLst>
          </c:dLbls>
          <c:cat>
            <c:strRef>
              <c:f>'CM.1'!$B$7:$F$7</c:f>
              <c:strCache>
                <c:ptCount val="5"/>
                <c:pt idx="0">
                  <c:v>Neonatal
mortality rate</c:v>
                </c:pt>
                <c:pt idx="1">
                  <c:v>Post-neonatal
mortality rate</c:v>
                </c:pt>
                <c:pt idx="2">
                  <c:v>Infant
mortality rate</c:v>
                </c:pt>
                <c:pt idx="3">
                  <c:v>Child
mortality rate</c:v>
                </c:pt>
                <c:pt idx="4">
                  <c:v>Under-five
mortality rate</c:v>
                </c:pt>
              </c:strCache>
            </c:strRef>
          </c:cat>
          <c:val>
            <c:numRef>
              <c:f>'CM.1'!$B$10:$F$10</c:f>
              <c:numCache>
                <c:formatCode>0</c:formatCode>
                <c:ptCount val="5"/>
                <c:pt idx="0">
                  <c:v>11.180030560293289</c:v>
                </c:pt>
                <c:pt idx="1">
                  <c:v>7.0570523627057664</c:v>
                </c:pt>
                <c:pt idx="2">
                  <c:v>18.237082922999093</c:v>
                </c:pt>
                <c:pt idx="3">
                  <c:v>3.5584284872059007</c:v>
                </c:pt>
                <c:pt idx="4">
                  <c:v>21.730616054808024</c:v>
                </c:pt>
              </c:numCache>
            </c:numRef>
          </c:val>
        </c:ser>
        <c:ser>
          <c:idx val="1"/>
          <c:order val="1"/>
          <c:tx>
            <c:strRef>
              <c:f>'CM.1'!$A$11</c:f>
              <c:strCache>
                <c:ptCount val="1"/>
                <c:pt idx="0">
                  <c:v>5-9</c:v>
                </c:pt>
              </c:strCache>
            </c:strRef>
          </c:tx>
          <c:spPr>
            <a:solidFill>
              <a:schemeClr val="accent4">
                <a:lumMod val="60000"/>
                <a:lumOff val="40000"/>
              </a:schemeClr>
            </a:solidFill>
            <a:ln>
              <a:noFill/>
            </a:ln>
            <a:effectLst>
              <a:innerShdw blurRad="114300">
                <a:schemeClr val="dk1">
                  <a:tint val="55000"/>
                </a:schemeClr>
              </a:innerShdw>
            </a:effectLst>
          </c:spPr>
          <c:dLbls>
            <c:dLbl>
              <c:idx val="0"/>
              <c:layout>
                <c:manualLayout>
                  <c:x val="5.7870370370370324E-3"/>
                  <c:y val="8.282298046077578E-4"/>
                </c:manualLayout>
              </c:layout>
              <c:dLblPos val="outEnd"/>
              <c:showVal val="1"/>
              <c:extLst>
                <c:ext xmlns:c15="http://schemas.microsoft.com/office/drawing/2012/chart" uri="{CE6537A1-D6FC-4f65-9D91-7224C49458BB}">
                  <c15:layout>
                    <c:manualLayout>
                      <c:w val="4.6574074074074066E-2"/>
                      <c:h val="4.7988145625940899E-2"/>
                    </c:manualLayout>
                  </c15:layout>
                </c:ext>
              </c:extLst>
            </c:dLbl>
            <c:dLbl>
              <c:idx val="1"/>
              <c:layout>
                <c:manualLayout>
                  <c:x val="0"/>
                  <c:y val="4.3847735147061924E-3"/>
                </c:manualLayout>
              </c:layout>
              <c:dLblPos val="outEnd"/>
              <c:showVal val="1"/>
              <c:extLst>
                <c:ext xmlns:c15="http://schemas.microsoft.com/office/drawing/2012/chart" uri="{CE6537A1-D6FC-4f65-9D91-7224C49458BB}"/>
              </c:extLst>
            </c:dLbl>
            <c:dLbl>
              <c:idx val="2"/>
              <c:layout>
                <c:manualLayout>
                  <c:x val="9.259259259259257E-3"/>
                  <c:y val="7.2816123209824193E-3"/>
                </c:manualLayout>
              </c:layout>
              <c:dLblPos val="outEnd"/>
              <c:showVal val="1"/>
              <c:extLst>
                <c:ext xmlns:c15="http://schemas.microsoft.com/office/drawing/2012/chart" uri="{CE6537A1-D6FC-4f65-9D91-7224C49458BB}">
                  <c15:layout>
                    <c:manualLayout>
                      <c:w val="4.8888888888888878E-2"/>
                      <c:h val="4.3984141621936895E-2"/>
                    </c:manualLayout>
                  </c15:layout>
                </c:ext>
              </c:extLst>
            </c:dLbl>
            <c:dLbl>
              <c:idx val="3"/>
              <c:layout>
                <c:manualLayout>
                  <c:x val="-2.3148148148148147E-3"/>
                  <c:y val="4.3847735147061924E-3"/>
                </c:manualLayout>
              </c:layout>
              <c:dLblPos val="outEnd"/>
              <c:showVal val="1"/>
              <c:extLst>
                <c:ext xmlns:c15="http://schemas.microsoft.com/office/drawing/2012/chart" uri="{CE6537A1-D6FC-4f65-9D91-7224C49458BB}"/>
              </c:extLst>
            </c:dLbl>
            <c:dLbl>
              <c:idx val="4"/>
              <c:layout>
                <c:manualLayout>
                  <c:x val="9.113444152814316E-8"/>
                  <c:y val="5.4921062795078475E-3"/>
                </c:manualLayout>
              </c:layout>
              <c:dLblPos val="outEnd"/>
              <c:showVal val="1"/>
              <c:extLst>
                <c:ext xmlns:c15="http://schemas.microsoft.com/office/drawing/2012/chart" uri="{CE6537A1-D6FC-4f65-9D91-7224C49458BB}">
                  <c15:layout>
                    <c:manualLayout>
                      <c:w val="4.8888888888888878E-2"/>
                      <c:h val="6.0000157637952911E-2"/>
                    </c:manualLayout>
                  </c15:layout>
                </c:ext>
              </c:extLst>
            </c:dLbl>
            <c:numFmt formatCode="#,##0" sourceLinked="0"/>
            <c:spPr>
              <a:noFill/>
              <a:ln>
                <a:noFill/>
              </a:ln>
              <a:effectLst/>
            </c:spPr>
            <c:txPr>
              <a:bodyPr rot="0" vert="horz"/>
              <a:lstStyle/>
              <a:p>
                <a:pPr>
                  <a:defRPr/>
                </a:pPr>
                <a:endParaRPr lang="ar-SA"/>
              </a:p>
            </c:txPr>
            <c:dLblPos val="inEnd"/>
            <c:showVal val="1"/>
            <c:extLst>
              <c:ext xmlns:c15="http://schemas.microsoft.com/office/drawing/2012/chart" uri="{CE6537A1-D6FC-4f65-9D91-7224C49458BB}">
                <c15:spPr xmlns:c15="http://schemas.microsoft.com/office/drawing/2012/chart">
                  <a:prstGeom prst="roundRect">
                    <a:avLst/>
                  </a:prstGeom>
                </c15:spPr>
                <c15:showLeaderLines val="1"/>
                <c15:leaderLines>
                  <c:spPr>
                    <a:ln w="9525">
                      <a:solidFill>
                        <a:schemeClr val="tx1">
                          <a:lumMod val="35000"/>
                          <a:lumOff val="65000"/>
                        </a:schemeClr>
                      </a:solidFill>
                    </a:ln>
                    <a:effectLst/>
                  </c:spPr>
                </c15:leaderLines>
              </c:ext>
            </c:extLst>
          </c:dLbls>
          <c:cat>
            <c:strRef>
              <c:f>'CM.1'!$B$7:$F$7</c:f>
              <c:strCache>
                <c:ptCount val="5"/>
                <c:pt idx="0">
                  <c:v>Neonatal
mortality rate</c:v>
                </c:pt>
                <c:pt idx="1">
                  <c:v>Post-neonatal
mortality rate</c:v>
                </c:pt>
                <c:pt idx="2">
                  <c:v>Infant
mortality rate</c:v>
                </c:pt>
                <c:pt idx="3">
                  <c:v>Child
mortality rate</c:v>
                </c:pt>
                <c:pt idx="4">
                  <c:v>Under-five
mortality rate</c:v>
                </c:pt>
              </c:strCache>
            </c:strRef>
          </c:cat>
          <c:val>
            <c:numRef>
              <c:f>'CM.1'!$B$11:$F$11</c:f>
              <c:numCache>
                <c:formatCode>0</c:formatCode>
                <c:ptCount val="5"/>
                <c:pt idx="0">
                  <c:v>11.772972094803222</c:v>
                </c:pt>
                <c:pt idx="1">
                  <c:v>8.5660491110441068</c:v>
                </c:pt>
                <c:pt idx="2">
                  <c:v>20.339021205847303</c:v>
                </c:pt>
                <c:pt idx="3">
                  <c:v>3.8183827816245639</c:v>
                </c:pt>
                <c:pt idx="4">
                  <c:v>24.079741819104189</c:v>
                </c:pt>
              </c:numCache>
            </c:numRef>
          </c:val>
        </c:ser>
        <c:ser>
          <c:idx val="0"/>
          <c:order val="2"/>
          <c:tx>
            <c:strRef>
              <c:f>'CM.1'!$A$12</c:f>
              <c:strCache>
                <c:ptCount val="1"/>
                <c:pt idx="0">
                  <c:v>10-14</c:v>
                </c:pt>
              </c:strCache>
            </c:strRef>
          </c:tx>
          <c:spPr>
            <a:solidFill>
              <a:srgbClr val="92D050"/>
            </a:solidFill>
            <a:ln>
              <a:noFill/>
            </a:ln>
            <a:effectLst>
              <a:innerShdw blurRad="114300">
                <a:schemeClr val="dk1">
                  <a:tint val="88500"/>
                </a:schemeClr>
              </a:innerShdw>
            </a:effectLst>
          </c:spPr>
          <c:dLbls>
            <c:dLbl>
              <c:idx val="0"/>
              <c:layout>
                <c:manualLayout>
                  <c:x val="-3.4721310877807066E-3"/>
                  <c:y val="-2.7901917665697413E-4"/>
                </c:manualLayout>
              </c:layout>
              <c:dLblPos val="outEnd"/>
              <c:showVal val="1"/>
              <c:extLst>
                <c:ext xmlns:c15="http://schemas.microsoft.com/office/drawing/2012/chart" uri="{CE6537A1-D6FC-4f65-9D91-7224C49458BB}">
                  <c15:layout>
                    <c:manualLayout>
                      <c:w val="5.1203703703703696E-2"/>
                      <c:h val="4.3984141621936895E-2"/>
                    </c:manualLayout>
                  </c15:layout>
                </c:ext>
              </c:extLst>
            </c:dLbl>
            <c:dLbl>
              <c:idx val="1"/>
              <c:layout>
                <c:manualLayout>
                  <c:x val="-4.2437781360068201E-17"/>
                  <c:y val="1.3287511106515786E-2"/>
                </c:manualLayout>
              </c:layout>
              <c:dLblPos val="outEnd"/>
              <c:showVal val="1"/>
              <c:extLst>
                <c:ext xmlns:c15="http://schemas.microsoft.com/office/drawing/2012/chart" uri="{CE6537A1-D6FC-4f65-9D91-7224C49458BB}"/>
              </c:extLst>
            </c:dLbl>
            <c:dLbl>
              <c:idx val="2"/>
              <c:layout>
                <c:manualLayout>
                  <c:x val="8.1018518518518462E-3"/>
                  <c:y val="2.8301363046049472E-3"/>
                </c:manualLayout>
              </c:layout>
              <c:dLblPos val="outEnd"/>
              <c:showVal val="1"/>
              <c:extLst>
                <c:ext xmlns:c15="http://schemas.microsoft.com/office/drawing/2012/chart" uri="{CE6537A1-D6FC-4f65-9D91-7224C49458BB}">
                  <c15:layout>
                    <c:manualLayout>
                      <c:w val="5.1203703703703696E-2"/>
                      <c:h val="4.3984141621936895E-2"/>
                    </c:manualLayout>
                  </c15:layout>
                </c:ext>
              </c:extLst>
            </c:dLbl>
            <c:dLbl>
              <c:idx val="3"/>
              <c:layout>
                <c:manualLayout>
                  <c:x val="-2.3148148148148147E-3"/>
                  <c:y val="-1.1356247951748778E-4"/>
                </c:manualLayout>
              </c:layout>
              <c:dLblPos val="outEnd"/>
              <c:showVal val="1"/>
              <c:extLst>
                <c:ext xmlns:c15="http://schemas.microsoft.com/office/drawing/2012/chart" uri="{CE6537A1-D6FC-4f65-9D91-7224C49458BB}"/>
              </c:extLst>
            </c:dLbl>
            <c:dLbl>
              <c:idx val="4"/>
              <c:layout>
                <c:manualLayout>
                  <c:x val="1.157407407407408E-2"/>
                  <c:y val="-4.0705992852026101E-3"/>
                </c:manualLayout>
              </c:layout>
              <c:dLblPos val="outEnd"/>
              <c:showVal val="1"/>
              <c:extLst>
                <c:ext xmlns:c15="http://schemas.microsoft.com/office/drawing/2012/chart" uri="{CE6537A1-D6FC-4f65-9D91-7224C49458BB}">
                  <c15:layout>
                    <c:manualLayout>
                      <c:w val="5.814814814814815E-2"/>
                      <c:h val="4.7988145625940899E-2"/>
                    </c:manualLayout>
                  </c15:layout>
                </c:ext>
              </c:extLst>
            </c:dLbl>
            <c:numFmt formatCode="#,##0" sourceLinked="0"/>
            <c:spPr>
              <a:solidFill>
                <a:schemeClr val="lt1"/>
              </a:solidFill>
              <a:ln>
                <a:noFill/>
              </a:ln>
              <a:effectLst/>
            </c:spPr>
            <c:txPr>
              <a:bodyPr rot="0" vert="horz"/>
              <a:lstStyle/>
              <a:p>
                <a:pPr>
                  <a:defRPr/>
                </a:pPr>
                <a:endParaRPr lang="ar-SA"/>
              </a:p>
            </c:txPr>
            <c:dLblPos val="inEnd"/>
            <c:showVal val="1"/>
            <c:extLst>
              <c:ext xmlns:c15="http://schemas.microsoft.com/office/drawing/2012/chart" uri="{CE6537A1-D6FC-4f65-9D91-7224C49458BB}">
                <c15:spPr xmlns:c15="http://schemas.microsoft.com/office/drawing/2012/chart">
                  <a:prstGeom prst="roundRect">
                    <a:avLst/>
                  </a:prstGeom>
                </c15:spPr>
                <c15:showLeaderLines val="1"/>
                <c15:leaderLines>
                  <c:spPr>
                    <a:ln w="9525">
                      <a:solidFill>
                        <a:schemeClr val="tx1">
                          <a:lumMod val="35000"/>
                          <a:lumOff val="65000"/>
                        </a:schemeClr>
                      </a:solidFill>
                    </a:ln>
                    <a:effectLst/>
                  </c:spPr>
                </c15:leaderLines>
              </c:ext>
            </c:extLst>
          </c:dLbls>
          <c:cat>
            <c:strRef>
              <c:f>'CM.1'!$B$7:$F$7</c:f>
              <c:strCache>
                <c:ptCount val="5"/>
                <c:pt idx="0">
                  <c:v>Neonatal
mortality rate</c:v>
                </c:pt>
                <c:pt idx="1">
                  <c:v>Post-neonatal
mortality rate</c:v>
                </c:pt>
                <c:pt idx="2">
                  <c:v>Infant
mortality rate</c:v>
                </c:pt>
                <c:pt idx="3">
                  <c:v>Child
mortality rate</c:v>
                </c:pt>
                <c:pt idx="4">
                  <c:v>Under-five
mortality rate</c:v>
                </c:pt>
              </c:strCache>
            </c:strRef>
          </c:cat>
          <c:val>
            <c:numRef>
              <c:f>'CM.1'!$B$12:$F$12</c:f>
              <c:numCache>
                <c:formatCode>0</c:formatCode>
                <c:ptCount val="5"/>
                <c:pt idx="0">
                  <c:v>12.855951447647008</c:v>
                </c:pt>
                <c:pt idx="1">
                  <c:v>8.4124967975981768</c:v>
                </c:pt>
                <c:pt idx="2">
                  <c:v>21.268448245244851</c:v>
                </c:pt>
                <c:pt idx="3">
                  <c:v>2.2234368353414515</c:v>
                </c:pt>
                <c:pt idx="4">
                  <c:v>23.444596029327169</c:v>
                </c:pt>
              </c:numCache>
            </c:numRef>
          </c:val>
        </c:ser>
        <c:gapWidth val="164"/>
        <c:overlap val="-22"/>
        <c:axId val="94358912"/>
        <c:axId val="97468800"/>
      </c:barChart>
      <c:catAx>
        <c:axId val="94358912"/>
        <c:scaling>
          <c:orientation val="minMax"/>
        </c:scaling>
        <c:axPos val="b"/>
        <c:title>
          <c:tx>
            <c:rich>
              <a:bodyPr/>
              <a:lstStyle/>
              <a:p>
                <a:pPr algn="l">
                  <a:defRPr b="0"/>
                </a:pPr>
                <a:r>
                  <a:rPr lang="en-US" b="0"/>
                  <a:t>Note: Indicator values are per 1,000 live births</a:t>
                </a:r>
              </a:p>
            </c:rich>
          </c:tx>
          <c:layout>
            <c:manualLayout>
              <c:xMode val="edge"/>
              <c:yMode val="edge"/>
              <c:x val="3.2208936845858679E-4"/>
              <c:y val="0.95093954229933364"/>
            </c:manualLayout>
          </c:layout>
        </c:title>
        <c:numFmt formatCode="General" sourceLinked="1"/>
        <c:majorTickMark val="none"/>
        <c:tickLblPos val="nextTo"/>
        <c:spPr>
          <a:noFill/>
          <a:ln w="12700" cap="flat" cmpd="sng" algn="ctr">
            <a:solidFill>
              <a:schemeClr val="tx1">
                <a:lumMod val="25000"/>
                <a:lumOff val="75000"/>
              </a:schemeClr>
            </a:solidFill>
            <a:round/>
          </a:ln>
          <a:effectLst/>
        </c:spPr>
        <c:txPr>
          <a:bodyPr rot="-60000000" vert="horz"/>
          <a:lstStyle/>
          <a:p>
            <a:pPr>
              <a:defRPr/>
            </a:pPr>
            <a:endParaRPr lang="ar-SA"/>
          </a:p>
        </c:txPr>
        <c:crossAx val="97468800"/>
        <c:crosses val="autoZero"/>
        <c:auto val="1"/>
        <c:lblAlgn val="ctr"/>
        <c:lblOffset val="100"/>
      </c:catAx>
      <c:valAx>
        <c:axId val="97468800"/>
        <c:scaling>
          <c:orientation val="minMax"/>
          <c:min val="0"/>
        </c:scaling>
        <c:delete val="1"/>
        <c:axPos val="l"/>
        <c:title>
          <c:tx>
            <c:rich>
              <a:bodyPr rot="0"/>
              <a:lstStyle/>
              <a:p>
                <a:pPr>
                  <a:defRPr/>
                </a:pPr>
                <a:r>
                  <a:rPr lang="en-US"/>
                  <a:t>Years preceding the survey</a:t>
                </a:r>
              </a:p>
            </c:rich>
          </c:tx>
          <c:layout>
            <c:manualLayout>
              <c:xMode val="edge"/>
              <c:yMode val="edge"/>
              <c:x val="0.55885553368329777"/>
              <c:y val="2.441347958591775E-2"/>
            </c:manualLayout>
          </c:layout>
          <c:spPr>
            <a:noFill/>
            <a:ln>
              <a:solidFill>
                <a:schemeClr val="tx1"/>
              </a:solidFill>
            </a:ln>
            <a:effectLst/>
          </c:spPr>
        </c:title>
        <c:numFmt formatCode="#,##0.00" sourceLinked="0"/>
        <c:majorTickMark val="none"/>
        <c:tickLblPos val="none"/>
        <c:crossAx val="94358912"/>
        <c:crosses val="autoZero"/>
        <c:crossBetween val="between"/>
      </c:valAx>
      <c:spPr>
        <a:noFill/>
        <a:ln>
          <a:noFill/>
        </a:ln>
        <a:effectLst/>
      </c:spPr>
    </c:plotArea>
    <c:legend>
      <c:legendPos val="t"/>
      <c:layout>
        <c:manualLayout>
          <c:xMode val="edge"/>
          <c:yMode val="edge"/>
          <c:x val="0.62409084281131932"/>
          <c:y val="0.14190613219864442"/>
          <c:w val="8.5652197485035067E-2"/>
          <c:h val="0.24837740736953334"/>
        </c:manualLayout>
      </c:layout>
      <c:spPr>
        <a:noFill/>
        <a:ln>
          <a:noFill/>
        </a:ln>
        <a:effectLst/>
      </c:spPr>
      <c:txPr>
        <a:bodyPr rot="0" vert="horz"/>
        <a:lstStyle/>
        <a:p>
          <a:pPr>
            <a:defRPr/>
          </a:pPr>
          <a:endParaRPr lang="ar-SA"/>
        </a:p>
      </c:txPr>
    </c:legend>
    <c:plotVisOnly val="1"/>
    <c:dispBlanksAs val="gap"/>
  </c:chart>
  <c:spPr>
    <a:solidFill>
      <a:schemeClr val="bg1"/>
    </a:solidFill>
    <a:ln w="9525" cap="flat" cmpd="sng" algn="ctr">
      <a:noFill/>
      <a:round/>
    </a:ln>
    <a:effectLst/>
  </c:spPr>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7865430883639763"/>
          <c:y val="3.0721097518670904E-2"/>
          <c:w val="0.72647997825620003"/>
          <c:h val="0.81024551482186924"/>
        </c:manualLayout>
      </c:layout>
      <c:barChart>
        <c:barDir val="bar"/>
        <c:grouping val="clustered"/>
        <c:ser>
          <c:idx val="0"/>
          <c:order val="0"/>
          <c:tx>
            <c:strRef>
              <c:f>'CM.2'!$B$6</c:f>
              <c:strCache>
                <c:ptCount val="1"/>
                <c:pt idx="0">
                  <c:v>Under-five mortality rate</c:v>
                </c:pt>
              </c:strCache>
            </c:strRef>
          </c:tx>
          <c:spPr>
            <a:solidFill>
              <a:schemeClr val="accent1">
                <a:lumMod val="60000"/>
                <a:lumOff val="40000"/>
              </a:schemeClr>
            </a:solidFill>
            <a:ln w="12700">
              <a:solidFill>
                <a:srgbClr val="000000"/>
              </a:solidFill>
              <a:prstDash val="solid"/>
            </a:ln>
          </c:spPr>
          <c:dLbls>
            <c:spPr>
              <a:noFill/>
              <a:ln w="25400">
                <a:noFill/>
              </a:ln>
            </c:spPr>
            <c:txPr>
              <a:bodyPr/>
              <a:lstStyle/>
              <a:p>
                <a:pPr>
                  <a:defRPr sz="900"/>
                </a:pPr>
                <a:endParaRPr lang="ar-SA"/>
              </a:p>
            </c:txPr>
            <c:dLblPos val="inEnd"/>
            <c:showVal val="1"/>
            <c:extLst>
              <c:ext xmlns:c15="http://schemas.microsoft.com/office/drawing/2012/chart" uri="{CE6537A1-D6FC-4f65-9D91-7224C49458BB}">
                <c15:showLeaderLines val="0"/>
              </c:ext>
            </c:extLst>
          </c:dLbls>
          <c:cat>
            <c:strRef>
              <c:f>'CM.2'!$A$8:$A$15</c:f>
              <c:strCache>
                <c:ptCount val="8"/>
                <c:pt idx="0">
                  <c:v>Palestine</c:v>
                </c:pt>
                <c:pt idx="2">
                  <c:v>West Bank</c:v>
                </c:pt>
                <c:pt idx="3">
                  <c:v>Gaza Strip</c:v>
                </c:pt>
                <c:pt idx="5">
                  <c:v>Urban</c:v>
                </c:pt>
                <c:pt idx="6">
                  <c:v>Rural</c:v>
                </c:pt>
                <c:pt idx="7">
                  <c:v>Camps</c:v>
                </c:pt>
              </c:strCache>
            </c:strRef>
          </c:cat>
          <c:val>
            <c:numRef>
              <c:f>'CM.2'!$B$8:$B$15</c:f>
              <c:numCache>
                <c:formatCode>General</c:formatCode>
                <c:ptCount val="8"/>
                <c:pt idx="0" formatCode="0">
                  <c:v>22</c:v>
                </c:pt>
                <c:pt idx="2" formatCode="0">
                  <c:v>20</c:v>
                </c:pt>
                <c:pt idx="3" formatCode="0">
                  <c:v>24</c:v>
                </c:pt>
                <c:pt idx="5" formatCode="0">
                  <c:v>22</c:v>
                </c:pt>
                <c:pt idx="6" formatCode="0">
                  <c:v>21</c:v>
                </c:pt>
                <c:pt idx="7" formatCode="0">
                  <c:v>19</c:v>
                </c:pt>
              </c:numCache>
            </c:numRef>
          </c:val>
        </c:ser>
        <c:gapWidth val="0"/>
        <c:axId val="97595776"/>
        <c:axId val="97597312"/>
      </c:barChart>
      <c:catAx>
        <c:axId val="97595776"/>
        <c:scaling>
          <c:orientation val="maxMin"/>
        </c:scaling>
        <c:axPos val="l"/>
        <c:numFmt formatCode="General" sourceLinked="1"/>
        <c:tickLblPos val="nextTo"/>
        <c:spPr>
          <a:ln w="12700">
            <a:solidFill>
              <a:schemeClr val="bg1">
                <a:lumMod val="75000"/>
              </a:schemeClr>
            </a:solidFill>
            <a:prstDash val="solid"/>
          </a:ln>
        </c:spPr>
        <c:txPr>
          <a:bodyPr rot="0" vert="horz"/>
          <a:lstStyle/>
          <a:p>
            <a:pPr>
              <a:defRPr sz="900"/>
            </a:pPr>
            <a:endParaRPr lang="ar-SA"/>
          </a:p>
        </c:txPr>
        <c:crossAx val="97597312"/>
        <c:crosses val="autoZero"/>
        <c:auto val="1"/>
        <c:lblAlgn val="ctr"/>
        <c:lblOffset val="100"/>
        <c:tickLblSkip val="1"/>
        <c:tickMarkSkip val="1"/>
      </c:catAx>
      <c:valAx>
        <c:axId val="97597312"/>
        <c:scaling>
          <c:orientation val="minMax"/>
        </c:scaling>
        <c:axPos val="b"/>
        <c:title>
          <c:tx>
            <c:rich>
              <a:bodyPr/>
              <a:lstStyle/>
              <a:p>
                <a:pPr>
                  <a:defRPr/>
                </a:pPr>
                <a:r>
                  <a:rPr lang="en-US"/>
                  <a:t>Under-5 Mortality Rates per 1,000 Births</a:t>
                </a:r>
              </a:p>
            </c:rich>
          </c:tx>
        </c:title>
        <c:numFmt formatCode="0" sourceLinked="1"/>
        <c:tickLblPos val="nextTo"/>
        <c:spPr>
          <a:ln w="12700">
            <a:solidFill>
              <a:schemeClr val="bg1">
                <a:lumMod val="75000"/>
              </a:schemeClr>
            </a:solidFill>
            <a:prstDash val="solid"/>
          </a:ln>
        </c:spPr>
        <c:txPr>
          <a:bodyPr rot="0" vert="horz"/>
          <a:lstStyle/>
          <a:p>
            <a:pPr>
              <a:defRPr/>
            </a:pPr>
            <a:endParaRPr lang="ar-SA"/>
          </a:p>
        </c:txPr>
        <c:crossAx val="97595776"/>
        <c:crosses val="max"/>
        <c:crossBetween val="between"/>
      </c:valAx>
      <c:spPr>
        <a:solidFill>
          <a:srgbClr val="FFFFFF"/>
        </a:solidFill>
        <a:ln w="12700">
          <a:solidFill>
            <a:schemeClr val="bg1">
              <a:lumMod val="75000"/>
            </a:schemeClr>
          </a:solidFill>
          <a:prstDash val="solid"/>
        </a:ln>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mn-lt"/>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6489643340037069E-2"/>
          <c:y val="0.11043539557555306"/>
          <c:w val="0.87079524150391263"/>
          <c:h val="0.67134098237720363"/>
        </c:manualLayout>
      </c:layout>
      <c:scatterChart>
        <c:scatterStyle val="lineMarker"/>
        <c:ser>
          <c:idx val="1"/>
          <c:order val="1"/>
          <c:tx>
            <c:strRef>
              <c:f>'CM.3'!$E$5</c:f>
              <c:strCache>
                <c:ptCount val="1"/>
                <c:pt idx="0">
                  <c:v> PFS/MICS4 2010</c:v>
                </c:pt>
              </c:strCache>
            </c:strRef>
          </c:tx>
          <c:marker>
            <c:symbol val="circle"/>
            <c:size val="5"/>
            <c:spPr>
              <a:solidFill>
                <a:schemeClr val="tx1"/>
              </a:solidFill>
              <a:ln>
                <a:solidFill>
                  <a:schemeClr val="tx1"/>
                </a:solidFill>
                <a:prstDash val="solid"/>
              </a:ln>
            </c:spPr>
          </c:marker>
          <c:xVal>
            <c:numRef>
              <c:f>'CM.3'!$C$6:$C$25</c:f>
              <c:numCache>
                <c:formatCode>0.0</c:formatCode>
                <c:ptCount val="20"/>
                <c:pt idx="0">
                  <c:v>2011.7</c:v>
                </c:pt>
                <c:pt idx="1">
                  <c:v>2006.7</c:v>
                </c:pt>
                <c:pt idx="2">
                  <c:v>2001.7</c:v>
                </c:pt>
                <c:pt idx="3">
                  <c:v>1996.7</c:v>
                </c:pt>
                <c:pt idx="4">
                  <c:v>1991.7</c:v>
                </c:pt>
                <c:pt idx="5">
                  <c:v>2008.1</c:v>
                </c:pt>
                <c:pt idx="6">
                  <c:v>2003.1</c:v>
                </c:pt>
                <c:pt idx="7">
                  <c:v>1998.1</c:v>
                </c:pt>
                <c:pt idx="8">
                  <c:v>1993.1</c:v>
                </c:pt>
                <c:pt idx="9">
                  <c:v>1988.1</c:v>
                </c:pt>
                <c:pt idx="10" formatCode="General">
                  <c:v>2004.4</c:v>
                </c:pt>
                <c:pt idx="11" formatCode="General">
                  <c:v>1999.5</c:v>
                </c:pt>
                <c:pt idx="12" formatCode="General">
                  <c:v>1994.5</c:v>
                </c:pt>
                <c:pt idx="13" formatCode="General">
                  <c:v>1989.5</c:v>
                </c:pt>
                <c:pt idx="14" formatCode="General">
                  <c:v>1984.5</c:v>
                </c:pt>
                <c:pt idx="15" formatCode="General">
                  <c:v>2012.5</c:v>
                </c:pt>
                <c:pt idx="16" formatCode="General">
                  <c:v>2007.5</c:v>
                </c:pt>
                <c:pt idx="17" formatCode="General">
                  <c:v>2002.5</c:v>
                </c:pt>
                <c:pt idx="18" formatCode="General">
                  <c:v>1997.5</c:v>
                </c:pt>
                <c:pt idx="19" formatCode="General">
                  <c:v>1992.5</c:v>
                </c:pt>
              </c:numCache>
            </c:numRef>
          </c:xVal>
          <c:yVal>
            <c:numRef>
              <c:f>'CM.3'!$E$6:$E$25</c:f>
              <c:numCache>
                <c:formatCode>General</c:formatCode>
                <c:ptCount val="20"/>
                <c:pt idx="5">
                  <c:v>23.39</c:v>
                </c:pt>
                <c:pt idx="6">
                  <c:v>26.1</c:v>
                </c:pt>
                <c:pt idx="7">
                  <c:v>29.24</c:v>
                </c:pt>
                <c:pt idx="8">
                  <c:v>33.33</c:v>
                </c:pt>
                <c:pt idx="9">
                  <c:v>42.71</c:v>
                </c:pt>
              </c:numCache>
            </c:numRef>
          </c:yVal>
        </c:ser>
        <c:ser>
          <c:idx val="2"/>
          <c:order val="2"/>
          <c:tx>
            <c:strRef>
              <c:f>'CM.3'!$F$5</c:f>
              <c:strCache>
                <c:ptCount val="1"/>
                <c:pt idx="0">
                  <c:v>PAPFAM 2006</c:v>
                </c:pt>
              </c:strCache>
            </c:strRef>
          </c:tx>
          <c:marker>
            <c:symbol val="circle"/>
            <c:size val="5"/>
            <c:spPr>
              <a:solidFill>
                <a:schemeClr val="bg1">
                  <a:lumMod val="50000"/>
                </a:schemeClr>
              </a:solidFill>
              <a:ln>
                <a:solidFill>
                  <a:schemeClr val="bg1">
                    <a:lumMod val="50000"/>
                  </a:schemeClr>
                </a:solidFill>
                <a:prstDash val="solid"/>
              </a:ln>
            </c:spPr>
          </c:marker>
          <c:xVal>
            <c:numRef>
              <c:f>'CM.3'!$C$6:$C$25</c:f>
              <c:numCache>
                <c:formatCode>0.0</c:formatCode>
                <c:ptCount val="20"/>
                <c:pt idx="0">
                  <c:v>2011.7</c:v>
                </c:pt>
                <c:pt idx="1">
                  <c:v>2006.7</c:v>
                </c:pt>
                <c:pt idx="2">
                  <c:v>2001.7</c:v>
                </c:pt>
                <c:pt idx="3">
                  <c:v>1996.7</c:v>
                </c:pt>
                <c:pt idx="4">
                  <c:v>1991.7</c:v>
                </c:pt>
                <c:pt idx="5">
                  <c:v>2008.1</c:v>
                </c:pt>
                <c:pt idx="6">
                  <c:v>2003.1</c:v>
                </c:pt>
                <c:pt idx="7">
                  <c:v>1998.1</c:v>
                </c:pt>
                <c:pt idx="8">
                  <c:v>1993.1</c:v>
                </c:pt>
                <c:pt idx="9">
                  <c:v>1988.1</c:v>
                </c:pt>
                <c:pt idx="10" formatCode="General">
                  <c:v>2004.4</c:v>
                </c:pt>
                <c:pt idx="11" formatCode="General">
                  <c:v>1999.5</c:v>
                </c:pt>
                <c:pt idx="12" formatCode="General">
                  <c:v>1994.5</c:v>
                </c:pt>
                <c:pt idx="13" formatCode="General">
                  <c:v>1989.5</c:v>
                </c:pt>
                <c:pt idx="14" formatCode="General">
                  <c:v>1984.5</c:v>
                </c:pt>
                <c:pt idx="15" formatCode="General">
                  <c:v>2012.5</c:v>
                </c:pt>
                <c:pt idx="16" formatCode="General">
                  <c:v>2007.5</c:v>
                </c:pt>
                <c:pt idx="17" formatCode="General">
                  <c:v>2002.5</c:v>
                </c:pt>
                <c:pt idx="18" formatCode="General">
                  <c:v>1997.5</c:v>
                </c:pt>
                <c:pt idx="19" formatCode="General">
                  <c:v>1992.5</c:v>
                </c:pt>
              </c:numCache>
            </c:numRef>
          </c:xVal>
          <c:yVal>
            <c:numRef>
              <c:f>'CM.3'!$F$6:$F$25</c:f>
              <c:numCache>
                <c:formatCode>General</c:formatCode>
                <c:ptCount val="20"/>
                <c:pt idx="10">
                  <c:v>28.2</c:v>
                </c:pt>
                <c:pt idx="11">
                  <c:v>29.7</c:v>
                </c:pt>
                <c:pt idx="12">
                  <c:v>37.5</c:v>
                </c:pt>
                <c:pt idx="13">
                  <c:v>43.5</c:v>
                </c:pt>
                <c:pt idx="14">
                  <c:v>58.3</c:v>
                </c:pt>
              </c:numCache>
            </c:numRef>
          </c:yVal>
        </c:ser>
        <c:axId val="98063104"/>
        <c:axId val="98065024"/>
      </c:scatterChart>
      <c:scatterChart>
        <c:scatterStyle val="lineMarker"/>
        <c:ser>
          <c:idx val="0"/>
          <c:order val="0"/>
          <c:tx>
            <c:strRef>
              <c:f>'CM.3'!$D$5</c:f>
              <c:strCache>
                <c:ptCount val="1"/>
                <c:pt idx="0">
                  <c:v>MICS 2014</c:v>
                </c:pt>
              </c:strCache>
            </c:strRef>
          </c:tx>
          <c:marker>
            <c:symbol val="triangle"/>
            <c:size val="5"/>
            <c:spPr>
              <a:solidFill>
                <a:schemeClr val="tx1"/>
              </a:solidFill>
              <a:ln>
                <a:solidFill>
                  <a:schemeClr val="tx1"/>
                </a:solidFill>
                <a:prstDash val="solid"/>
              </a:ln>
            </c:spPr>
          </c:marker>
          <c:xVal>
            <c:numRef>
              <c:f>'CM.3'!$C$6:$C$25</c:f>
              <c:numCache>
                <c:formatCode>0.0</c:formatCode>
                <c:ptCount val="20"/>
                <c:pt idx="0">
                  <c:v>2011.7</c:v>
                </c:pt>
                <c:pt idx="1">
                  <c:v>2006.7</c:v>
                </c:pt>
                <c:pt idx="2">
                  <c:v>2001.7</c:v>
                </c:pt>
                <c:pt idx="3">
                  <c:v>1996.7</c:v>
                </c:pt>
                <c:pt idx="4">
                  <c:v>1991.7</c:v>
                </c:pt>
                <c:pt idx="5">
                  <c:v>2008.1</c:v>
                </c:pt>
                <c:pt idx="6">
                  <c:v>2003.1</c:v>
                </c:pt>
                <c:pt idx="7">
                  <c:v>1998.1</c:v>
                </c:pt>
                <c:pt idx="8">
                  <c:v>1993.1</c:v>
                </c:pt>
                <c:pt idx="9">
                  <c:v>1988.1</c:v>
                </c:pt>
                <c:pt idx="10" formatCode="General">
                  <c:v>2004.4</c:v>
                </c:pt>
                <c:pt idx="11" formatCode="General">
                  <c:v>1999.5</c:v>
                </c:pt>
                <c:pt idx="12" formatCode="General">
                  <c:v>1994.5</c:v>
                </c:pt>
                <c:pt idx="13" formatCode="General">
                  <c:v>1989.5</c:v>
                </c:pt>
                <c:pt idx="14" formatCode="General">
                  <c:v>1984.5</c:v>
                </c:pt>
                <c:pt idx="15" formatCode="General">
                  <c:v>2012.5</c:v>
                </c:pt>
                <c:pt idx="16" formatCode="General">
                  <c:v>2007.5</c:v>
                </c:pt>
                <c:pt idx="17" formatCode="General">
                  <c:v>2002.5</c:v>
                </c:pt>
                <c:pt idx="18" formatCode="General">
                  <c:v>1997.5</c:v>
                </c:pt>
                <c:pt idx="19" formatCode="General">
                  <c:v>1992.5</c:v>
                </c:pt>
              </c:numCache>
            </c:numRef>
          </c:xVal>
          <c:yVal>
            <c:numRef>
              <c:f>'CM.3'!$D$6:$D$25</c:f>
              <c:numCache>
                <c:formatCode>####.00</c:formatCode>
                <c:ptCount val="20"/>
                <c:pt idx="0">
                  <c:v>21.73</c:v>
                </c:pt>
                <c:pt idx="1">
                  <c:v>24.09</c:v>
                </c:pt>
                <c:pt idx="2">
                  <c:v>23.479999999999986</c:v>
                </c:pt>
                <c:pt idx="3">
                  <c:v>28.630000000000031</c:v>
                </c:pt>
                <c:pt idx="4">
                  <c:v>41.56</c:v>
                </c:pt>
              </c:numCache>
            </c:numRef>
          </c:yVal>
        </c:ser>
        <c:ser>
          <c:idx val="4"/>
          <c:order val="3"/>
          <c:tx>
            <c:strRef>
              <c:f>'CM.3'!$G$5</c:f>
              <c:strCache>
                <c:ptCount val="1"/>
                <c:pt idx="0">
                  <c:v>IGME</c:v>
                </c:pt>
              </c:strCache>
            </c:strRef>
          </c:tx>
          <c:xVal>
            <c:numRef>
              <c:f>'CM.3'!$C$6:$C$25</c:f>
              <c:numCache>
                <c:formatCode>0.0</c:formatCode>
                <c:ptCount val="20"/>
                <c:pt idx="0">
                  <c:v>2011.7</c:v>
                </c:pt>
                <c:pt idx="1">
                  <c:v>2006.7</c:v>
                </c:pt>
                <c:pt idx="2">
                  <c:v>2001.7</c:v>
                </c:pt>
                <c:pt idx="3">
                  <c:v>1996.7</c:v>
                </c:pt>
                <c:pt idx="4">
                  <c:v>1991.7</c:v>
                </c:pt>
                <c:pt idx="5">
                  <c:v>2008.1</c:v>
                </c:pt>
                <c:pt idx="6">
                  <c:v>2003.1</c:v>
                </c:pt>
                <c:pt idx="7">
                  <c:v>1998.1</c:v>
                </c:pt>
                <c:pt idx="8">
                  <c:v>1993.1</c:v>
                </c:pt>
                <c:pt idx="9">
                  <c:v>1988.1</c:v>
                </c:pt>
                <c:pt idx="10" formatCode="General">
                  <c:v>2004.4</c:v>
                </c:pt>
                <c:pt idx="11" formatCode="General">
                  <c:v>1999.5</c:v>
                </c:pt>
                <c:pt idx="12" formatCode="General">
                  <c:v>1994.5</c:v>
                </c:pt>
                <c:pt idx="13" formatCode="General">
                  <c:v>1989.5</c:v>
                </c:pt>
                <c:pt idx="14" formatCode="General">
                  <c:v>1984.5</c:v>
                </c:pt>
                <c:pt idx="15" formatCode="General">
                  <c:v>2012.5</c:v>
                </c:pt>
                <c:pt idx="16" formatCode="General">
                  <c:v>2007.5</c:v>
                </c:pt>
                <c:pt idx="17" formatCode="General">
                  <c:v>2002.5</c:v>
                </c:pt>
                <c:pt idx="18" formatCode="General">
                  <c:v>1997.5</c:v>
                </c:pt>
                <c:pt idx="19" formatCode="General">
                  <c:v>1992.5</c:v>
                </c:pt>
              </c:numCache>
            </c:numRef>
          </c:xVal>
          <c:yVal>
            <c:numRef>
              <c:f>'CM.3'!$G$6:$G$25</c:f>
              <c:numCache>
                <c:formatCode>General</c:formatCode>
                <c:ptCount val="20"/>
                <c:pt idx="15">
                  <c:v>22.6</c:v>
                </c:pt>
                <c:pt idx="16">
                  <c:v>25.6</c:v>
                </c:pt>
                <c:pt idx="17">
                  <c:v>28.5</c:v>
                </c:pt>
                <c:pt idx="18">
                  <c:v>32.5</c:v>
                </c:pt>
                <c:pt idx="19">
                  <c:v>39.1</c:v>
                </c:pt>
              </c:numCache>
            </c:numRef>
          </c:yVal>
        </c:ser>
        <c:axId val="98093312"/>
        <c:axId val="98091776"/>
      </c:scatterChart>
      <c:valAx>
        <c:axId val="98063104"/>
        <c:scaling>
          <c:orientation val="minMax"/>
          <c:max val="2014"/>
        </c:scaling>
        <c:axPos val="b"/>
        <c:majorGridlines>
          <c:spPr>
            <a:ln w="6350">
              <a:solidFill>
                <a:schemeClr val="bg1">
                  <a:lumMod val="75000"/>
                </a:schemeClr>
              </a:solidFill>
              <a:prstDash val="dash"/>
            </a:ln>
          </c:spPr>
        </c:majorGridlines>
        <c:title>
          <c:tx>
            <c:rich>
              <a:bodyPr/>
              <a:lstStyle/>
              <a:p>
                <a:pPr>
                  <a:defRPr/>
                </a:pPr>
                <a:r>
                  <a:rPr lang="en-US"/>
                  <a:t>Year</a:t>
                </a:r>
              </a:p>
            </c:rich>
          </c:tx>
          <c:layout>
            <c:manualLayout>
              <c:xMode val="edge"/>
              <c:yMode val="edge"/>
              <c:x val="0.47704965781905084"/>
              <c:y val="0.85414383202100697"/>
            </c:manualLayout>
          </c:layout>
          <c:spPr>
            <a:noFill/>
            <a:ln w="25400">
              <a:noFill/>
            </a:ln>
          </c:spPr>
        </c:title>
        <c:numFmt formatCode="0" sourceLinked="0"/>
        <c:tickLblPos val="nextTo"/>
        <c:spPr>
          <a:ln w="12700">
            <a:solidFill>
              <a:schemeClr val="bg1">
                <a:lumMod val="75000"/>
              </a:schemeClr>
            </a:solidFill>
            <a:prstDash val="solid"/>
          </a:ln>
        </c:spPr>
        <c:txPr>
          <a:bodyPr rot="0" vert="horz"/>
          <a:lstStyle/>
          <a:p>
            <a:pPr>
              <a:defRPr/>
            </a:pPr>
            <a:endParaRPr lang="ar-SA"/>
          </a:p>
        </c:txPr>
        <c:crossAx val="98065024"/>
        <c:crosses val="autoZero"/>
        <c:crossBetween val="midCat"/>
        <c:majorUnit val="4"/>
      </c:valAx>
      <c:valAx>
        <c:axId val="98065024"/>
        <c:scaling>
          <c:orientation val="minMax"/>
        </c:scaling>
        <c:axPos val="l"/>
        <c:majorGridlines>
          <c:spPr>
            <a:ln w="6350">
              <a:solidFill>
                <a:schemeClr val="bg1">
                  <a:lumMod val="75000"/>
                </a:schemeClr>
              </a:solidFill>
              <a:prstDash val="dash"/>
            </a:ln>
          </c:spPr>
        </c:majorGridlines>
        <c:title>
          <c:tx>
            <c:rich>
              <a:bodyPr rot="0" vert="horz"/>
              <a:lstStyle/>
              <a:p>
                <a:pPr>
                  <a:defRPr/>
                </a:pPr>
                <a:r>
                  <a:rPr lang="en-US"/>
                  <a:t>Per 1,000 live births</a:t>
                </a:r>
              </a:p>
            </c:rich>
          </c:tx>
          <c:layout>
            <c:manualLayout>
              <c:xMode val="edge"/>
              <c:yMode val="edge"/>
              <c:x val="4.489082093905019E-2"/>
              <c:y val="1.2880577427821525E-2"/>
            </c:manualLayout>
          </c:layout>
          <c:spPr>
            <a:noFill/>
            <a:ln w="25400">
              <a:noFill/>
            </a:ln>
          </c:spPr>
        </c:title>
        <c:numFmt formatCode="General" sourceLinked="1"/>
        <c:tickLblPos val="nextTo"/>
        <c:spPr>
          <a:ln w="12700">
            <a:solidFill>
              <a:schemeClr val="bg1">
                <a:lumMod val="75000"/>
              </a:schemeClr>
            </a:solidFill>
            <a:prstDash val="solid"/>
          </a:ln>
        </c:spPr>
        <c:txPr>
          <a:bodyPr rot="0" vert="horz"/>
          <a:lstStyle/>
          <a:p>
            <a:pPr>
              <a:defRPr/>
            </a:pPr>
            <a:endParaRPr lang="ar-SA"/>
          </a:p>
        </c:txPr>
        <c:crossAx val="98063104"/>
        <c:crosses val="autoZero"/>
        <c:crossBetween val="midCat"/>
      </c:valAx>
      <c:valAx>
        <c:axId val="98091776"/>
        <c:scaling>
          <c:orientation val="minMax"/>
          <c:max val="70"/>
        </c:scaling>
        <c:delete val="1"/>
        <c:axPos val="r"/>
        <c:numFmt formatCode="####.00" sourceLinked="1"/>
        <c:tickLblPos val="none"/>
        <c:crossAx val="98093312"/>
        <c:crosses val="max"/>
        <c:crossBetween val="midCat"/>
      </c:valAx>
      <c:valAx>
        <c:axId val="98093312"/>
        <c:scaling>
          <c:orientation val="minMax"/>
        </c:scaling>
        <c:delete val="1"/>
        <c:axPos val="b"/>
        <c:numFmt formatCode="0.0" sourceLinked="1"/>
        <c:tickLblPos val="none"/>
        <c:crossAx val="98091776"/>
        <c:crosses val="autoZero"/>
        <c:crossBetween val="midCat"/>
      </c:valAx>
      <c:spPr>
        <a:noFill/>
        <a:ln w="12700">
          <a:solidFill>
            <a:schemeClr val="bg1">
              <a:lumMod val="75000"/>
            </a:schemeClr>
          </a:solidFill>
          <a:prstDash val="solid"/>
        </a:ln>
      </c:spPr>
    </c:plotArea>
    <c:legend>
      <c:legendPos val="b"/>
      <c:layout>
        <c:manualLayout>
          <c:xMode val="edge"/>
          <c:yMode val="edge"/>
          <c:x val="5.3638749701741826E-3"/>
          <c:y val="0.92673925759280895"/>
          <c:w val="0.9"/>
          <c:h val="6.5696324744149021E-2"/>
        </c:manualLayout>
      </c:layout>
      <c:spPr>
        <a:solidFill>
          <a:srgbClr val="FFFFFF"/>
        </a:solidFill>
        <a:ln w="3175">
          <a:noFill/>
          <a:prstDash val="solid"/>
        </a:ln>
      </c:spPr>
    </c:legend>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mn-lt"/>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A0876-81F7-4703-AD64-4D0CADCB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dc:creator>
  <cp:keywords>MICS</cp:keywords>
  <cp:lastModifiedBy>Rami Al-Dibs</cp:lastModifiedBy>
  <cp:revision>13</cp:revision>
  <dcterms:created xsi:type="dcterms:W3CDTF">2015-05-13T11:07:00Z</dcterms:created>
  <dcterms:modified xsi:type="dcterms:W3CDTF">2015-09-02T10:21:00Z</dcterms:modified>
</cp:coreProperties>
</file>